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CA8" w:rsidRDefault="008B0CA8" w:rsidP="008B0CA8">
      <w:pPr>
        <w:jc w:val="center"/>
        <w:rPr>
          <w:b/>
          <w:sz w:val="40"/>
          <w:szCs w:val="40"/>
        </w:rPr>
      </w:pPr>
      <w:bookmarkStart w:id="0" w:name="_GoBack"/>
      <w:bookmarkEnd w:id="0"/>
    </w:p>
    <w:p w:rsidR="008B0CA8" w:rsidRDefault="008B0CA8" w:rsidP="008B0CA8">
      <w:pPr>
        <w:jc w:val="center"/>
        <w:rPr>
          <w:b/>
          <w:sz w:val="40"/>
          <w:szCs w:val="40"/>
        </w:rPr>
      </w:pPr>
    </w:p>
    <w:p w:rsidR="008B0CA8" w:rsidRDefault="008B0CA8" w:rsidP="008B0CA8">
      <w:pPr>
        <w:jc w:val="center"/>
        <w:rPr>
          <w:b/>
          <w:sz w:val="40"/>
          <w:szCs w:val="40"/>
        </w:rPr>
      </w:pPr>
    </w:p>
    <w:p w:rsidR="008B0CA8" w:rsidRPr="00933573" w:rsidRDefault="00EC20BB" w:rsidP="008B0CA8">
      <w:pPr>
        <w:jc w:val="center"/>
        <w:rPr>
          <w:b/>
          <w:sz w:val="48"/>
          <w:szCs w:val="48"/>
        </w:rPr>
      </w:pPr>
      <w:r>
        <w:rPr>
          <w:b/>
          <w:sz w:val="48"/>
          <w:szCs w:val="48"/>
        </w:rPr>
        <w:t xml:space="preserve">Zpráva o solventnosti a finanční situaci </w:t>
      </w:r>
      <w:r w:rsidR="008B0CA8" w:rsidRPr="00933573">
        <w:rPr>
          <w:b/>
          <w:sz w:val="48"/>
          <w:szCs w:val="48"/>
        </w:rPr>
        <w:t xml:space="preserve"> (</w:t>
      </w:r>
      <w:r w:rsidR="00FE34F0">
        <w:rPr>
          <w:b/>
          <w:sz w:val="48"/>
          <w:szCs w:val="48"/>
        </w:rPr>
        <w:t>SFCR</w:t>
      </w:r>
      <w:r w:rsidR="008B0CA8" w:rsidRPr="00933573">
        <w:rPr>
          <w:b/>
          <w:sz w:val="48"/>
          <w:szCs w:val="48"/>
        </w:rPr>
        <w:t>) pojišťovny Servisní pojišťovna, a.s.</w:t>
      </w:r>
    </w:p>
    <w:p w:rsidR="008B0CA8" w:rsidRDefault="008B0CA8" w:rsidP="008B0CA8">
      <w:pPr>
        <w:jc w:val="center"/>
        <w:rPr>
          <w:b/>
          <w:sz w:val="40"/>
          <w:szCs w:val="40"/>
        </w:rPr>
      </w:pPr>
    </w:p>
    <w:p w:rsidR="008B0CA8" w:rsidRDefault="008B0CA8" w:rsidP="008B0CA8">
      <w:pPr>
        <w:jc w:val="center"/>
        <w:rPr>
          <w:b/>
          <w:sz w:val="40"/>
          <w:szCs w:val="40"/>
        </w:rPr>
      </w:pPr>
      <w:r>
        <w:rPr>
          <w:b/>
          <w:noProof/>
          <w:sz w:val="40"/>
          <w:szCs w:val="40"/>
          <w:lang w:eastAsia="cs-CZ"/>
        </w:rPr>
        <w:drawing>
          <wp:inline distT="0" distB="0" distL="0" distR="0">
            <wp:extent cx="3648973" cy="3648973"/>
            <wp:effectExtent l="0" t="0" r="8890" b="889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_logotyp_colo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45830" cy="3645830"/>
                    </a:xfrm>
                    <a:prstGeom prst="rect">
                      <a:avLst/>
                    </a:prstGeom>
                  </pic:spPr>
                </pic:pic>
              </a:graphicData>
            </a:graphic>
          </wp:inline>
        </w:drawing>
      </w:r>
    </w:p>
    <w:p w:rsidR="008B0CA8" w:rsidRDefault="008B0CA8" w:rsidP="008B0CA8">
      <w:pPr>
        <w:jc w:val="center"/>
        <w:rPr>
          <w:b/>
          <w:sz w:val="40"/>
          <w:szCs w:val="40"/>
        </w:rPr>
      </w:pPr>
    </w:p>
    <w:p w:rsidR="008B0CA8" w:rsidRDefault="008B0CA8" w:rsidP="008B0CA8">
      <w:pPr>
        <w:jc w:val="center"/>
        <w:rPr>
          <w:b/>
          <w:sz w:val="40"/>
          <w:szCs w:val="40"/>
        </w:rPr>
      </w:pPr>
    </w:p>
    <w:p w:rsidR="008B0CA8" w:rsidRDefault="008B0CA8" w:rsidP="008B0CA8">
      <w:pPr>
        <w:jc w:val="center"/>
        <w:rPr>
          <w:b/>
          <w:sz w:val="40"/>
          <w:szCs w:val="40"/>
        </w:rPr>
      </w:pPr>
    </w:p>
    <w:p w:rsidR="004E1F5A" w:rsidRDefault="004E1F5A">
      <w:pPr>
        <w:rPr>
          <w:b/>
          <w:sz w:val="40"/>
          <w:szCs w:val="40"/>
        </w:rPr>
      </w:pPr>
      <w:r>
        <w:rPr>
          <w:b/>
          <w:sz w:val="40"/>
          <w:szCs w:val="40"/>
        </w:rPr>
        <w:br w:type="page"/>
      </w:r>
    </w:p>
    <w:p w:rsidR="001D72A3" w:rsidRDefault="001D72A3" w:rsidP="001D72A3">
      <w:pPr>
        <w:spacing w:after="0"/>
        <w:rPr>
          <w:rFonts w:ascii="Times New Roman" w:hAnsi="Times New Roman" w:cs="Times New Roman"/>
          <w:b/>
          <w:sz w:val="24"/>
          <w:szCs w:val="24"/>
        </w:rPr>
      </w:pPr>
      <w:r>
        <w:rPr>
          <w:rFonts w:ascii="Times New Roman" w:hAnsi="Times New Roman" w:cs="Times New Roman"/>
          <w:b/>
          <w:sz w:val="24"/>
          <w:szCs w:val="24"/>
        </w:rPr>
        <w:lastRenderedPageBreak/>
        <w:t>Obsah</w:t>
      </w:r>
    </w:p>
    <w:p w:rsidR="00537628" w:rsidRPr="001D72A3" w:rsidRDefault="00537628"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1</w:t>
      </w:r>
      <w:r w:rsidRPr="001D72A3">
        <w:rPr>
          <w:rFonts w:ascii="Times New Roman" w:hAnsi="Times New Roman" w:cs="Times New Roman"/>
          <w:b/>
          <w:sz w:val="24"/>
          <w:szCs w:val="24"/>
        </w:rPr>
        <w:tab/>
        <w:t>Činnost a výsledky</w:t>
      </w:r>
    </w:p>
    <w:p w:rsidR="00537628" w:rsidRPr="001D72A3" w:rsidRDefault="00537628"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1.1</w:t>
      </w:r>
      <w:r w:rsidRPr="001D72A3">
        <w:rPr>
          <w:rFonts w:ascii="Times New Roman" w:hAnsi="Times New Roman" w:cs="Times New Roman"/>
          <w:b/>
          <w:sz w:val="24"/>
          <w:szCs w:val="24"/>
        </w:rPr>
        <w:tab/>
        <w:t>Činnost</w:t>
      </w:r>
    </w:p>
    <w:p w:rsidR="00537628" w:rsidRPr="001D72A3" w:rsidRDefault="00537628"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1.2</w:t>
      </w:r>
      <w:r w:rsidRPr="001D72A3">
        <w:rPr>
          <w:rFonts w:ascii="Times New Roman" w:hAnsi="Times New Roman" w:cs="Times New Roman"/>
          <w:b/>
          <w:sz w:val="24"/>
          <w:szCs w:val="24"/>
        </w:rPr>
        <w:tab/>
        <w:t>Výsledky v oblasti upisování</w:t>
      </w:r>
      <w:r w:rsidRPr="001D72A3">
        <w:rPr>
          <w:rFonts w:ascii="Times New Roman" w:hAnsi="Times New Roman" w:cs="Times New Roman"/>
          <w:b/>
          <w:sz w:val="24"/>
          <w:szCs w:val="24"/>
        </w:rPr>
        <w:br/>
        <w:t>1.3</w:t>
      </w:r>
      <w:r w:rsidRPr="001D72A3">
        <w:rPr>
          <w:rFonts w:ascii="Times New Roman" w:hAnsi="Times New Roman" w:cs="Times New Roman"/>
          <w:b/>
          <w:sz w:val="24"/>
          <w:szCs w:val="24"/>
        </w:rPr>
        <w:tab/>
        <w:t>Výsledky v oblasti investic</w:t>
      </w:r>
    </w:p>
    <w:p w:rsidR="00537628" w:rsidRPr="001D72A3" w:rsidRDefault="00537628"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1.4</w:t>
      </w:r>
      <w:r w:rsidRPr="001D72A3">
        <w:rPr>
          <w:rFonts w:ascii="Times New Roman" w:hAnsi="Times New Roman" w:cs="Times New Roman"/>
          <w:b/>
          <w:sz w:val="24"/>
          <w:szCs w:val="24"/>
        </w:rPr>
        <w:tab/>
        <w:t>Výsledky v jiných oblastech činnosti</w:t>
      </w:r>
    </w:p>
    <w:p w:rsidR="00537628" w:rsidRPr="001D72A3" w:rsidRDefault="00537628"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1.4</w:t>
      </w:r>
      <w:r w:rsidRPr="001D72A3">
        <w:rPr>
          <w:rFonts w:ascii="Times New Roman" w:hAnsi="Times New Roman" w:cs="Times New Roman"/>
          <w:b/>
          <w:sz w:val="24"/>
          <w:szCs w:val="24"/>
        </w:rPr>
        <w:tab/>
        <w:t>Výsledky v jiných oblastech činnosti</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w:t>
      </w:r>
      <w:r w:rsidRPr="001D72A3">
        <w:rPr>
          <w:rFonts w:ascii="Times New Roman" w:hAnsi="Times New Roman" w:cs="Times New Roman"/>
          <w:b/>
          <w:sz w:val="24"/>
          <w:szCs w:val="24"/>
        </w:rPr>
        <w:tab/>
        <w:t>Řídící a kontrolní systém</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2.1</w:t>
      </w:r>
      <w:r w:rsidRPr="001D72A3">
        <w:rPr>
          <w:rFonts w:ascii="Times New Roman" w:hAnsi="Times New Roman" w:cs="Times New Roman"/>
          <w:b/>
          <w:sz w:val="24"/>
          <w:szCs w:val="24"/>
        </w:rPr>
        <w:tab/>
        <w:t>Obecné informace o řídícím a kontrolním systému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2.2</w:t>
      </w:r>
      <w:r w:rsidRPr="001D72A3">
        <w:rPr>
          <w:rFonts w:ascii="Times New Roman" w:hAnsi="Times New Roman" w:cs="Times New Roman"/>
          <w:b/>
          <w:sz w:val="24"/>
          <w:szCs w:val="24"/>
        </w:rPr>
        <w:tab/>
        <w:t>Požadavky na způsobilost a bezúhonnost</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2.3</w:t>
      </w:r>
      <w:r w:rsidRPr="001D72A3">
        <w:rPr>
          <w:rFonts w:ascii="Times New Roman" w:hAnsi="Times New Roman" w:cs="Times New Roman"/>
          <w:b/>
          <w:sz w:val="24"/>
          <w:szCs w:val="24"/>
        </w:rPr>
        <w:tab/>
        <w:t>Systém řízení rizik</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2.4</w:t>
      </w:r>
      <w:r w:rsidRPr="001D72A3">
        <w:rPr>
          <w:rFonts w:ascii="Times New Roman" w:hAnsi="Times New Roman" w:cs="Times New Roman"/>
          <w:b/>
          <w:sz w:val="24"/>
          <w:szCs w:val="24"/>
        </w:rPr>
        <w:tab/>
        <w:t>Vlastní posouzení rizik a solventnosti</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2.5</w:t>
      </w:r>
      <w:r w:rsidRPr="001D72A3">
        <w:rPr>
          <w:rFonts w:ascii="Times New Roman" w:hAnsi="Times New Roman" w:cs="Times New Roman"/>
          <w:b/>
          <w:sz w:val="24"/>
          <w:szCs w:val="24"/>
        </w:rPr>
        <w:tab/>
        <w:t>Systém vnitřní kontroly</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2.6</w:t>
      </w:r>
      <w:r w:rsidRPr="001D72A3">
        <w:rPr>
          <w:rFonts w:ascii="Times New Roman" w:hAnsi="Times New Roman" w:cs="Times New Roman"/>
          <w:b/>
          <w:sz w:val="24"/>
          <w:szCs w:val="24"/>
        </w:rPr>
        <w:tab/>
        <w:t>Funkce vnitřního auditu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2.7</w:t>
      </w:r>
      <w:r w:rsidRPr="001D72A3">
        <w:rPr>
          <w:rFonts w:ascii="Times New Roman" w:hAnsi="Times New Roman" w:cs="Times New Roman"/>
          <w:b/>
          <w:sz w:val="24"/>
          <w:szCs w:val="24"/>
        </w:rPr>
        <w:tab/>
        <w:t>Pojistně-matematická funkce</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2.8</w:t>
      </w:r>
      <w:r w:rsidRPr="001D72A3">
        <w:rPr>
          <w:rFonts w:ascii="Times New Roman" w:hAnsi="Times New Roman" w:cs="Times New Roman"/>
          <w:b/>
          <w:sz w:val="24"/>
          <w:szCs w:val="24"/>
        </w:rPr>
        <w:tab/>
        <w:t>Externí zajištění služeb nebo činností</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2.9</w:t>
      </w:r>
      <w:r w:rsidRPr="001D72A3">
        <w:rPr>
          <w:rFonts w:ascii="Times New Roman" w:hAnsi="Times New Roman" w:cs="Times New Roman"/>
          <w:b/>
          <w:sz w:val="24"/>
          <w:szCs w:val="24"/>
        </w:rPr>
        <w:tab/>
        <w:t>Další informace</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3</w:t>
      </w:r>
      <w:r w:rsidRPr="001D72A3">
        <w:rPr>
          <w:rFonts w:ascii="Times New Roman" w:hAnsi="Times New Roman" w:cs="Times New Roman"/>
          <w:b/>
          <w:sz w:val="24"/>
          <w:szCs w:val="24"/>
        </w:rPr>
        <w:tab/>
        <w:t>Rizikový profil</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3.1</w:t>
      </w:r>
      <w:r w:rsidRPr="001D72A3">
        <w:rPr>
          <w:rFonts w:ascii="Times New Roman" w:hAnsi="Times New Roman" w:cs="Times New Roman"/>
          <w:b/>
          <w:sz w:val="24"/>
          <w:szCs w:val="24"/>
        </w:rPr>
        <w:tab/>
        <w:t>Tržní riziko</w:t>
      </w:r>
    </w:p>
    <w:p w:rsidR="001D72A3" w:rsidRPr="001D72A3" w:rsidRDefault="001D72A3" w:rsidP="001D72A3">
      <w:pPr>
        <w:pStyle w:val="Zkladntext"/>
        <w:spacing w:before="0" w:after="0"/>
        <w:rPr>
          <w:rFonts w:cs="Arial"/>
          <w:sz w:val="24"/>
          <w:szCs w:val="24"/>
        </w:rPr>
      </w:pPr>
      <w:r w:rsidRPr="001D72A3">
        <w:rPr>
          <w:rFonts w:ascii="Times New Roman" w:hAnsi="Times New Roman"/>
          <w:b/>
          <w:sz w:val="24"/>
          <w:szCs w:val="24"/>
        </w:rPr>
        <w:t>3.2</w:t>
      </w:r>
      <w:r w:rsidRPr="001D72A3">
        <w:rPr>
          <w:rFonts w:ascii="Times New Roman" w:hAnsi="Times New Roman"/>
          <w:b/>
          <w:sz w:val="24"/>
          <w:szCs w:val="24"/>
        </w:rPr>
        <w:tab/>
        <w:t>Kreditní riziko</w:t>
      </w:r>
    </w:p>
    <w:p w:rsidR="001D72A3" w:rsidRPr="001D72A3" w:rsidRDefault="001D72A3" w:rsidP="001D72A3">
      <w:pPr>
        <w:pStyle w:val="Zkladntext"/>
        <w:spacing w:before="0" w:after="0"/>
        <w:rPr>
          <w:rFonts w:cs="Arial"/>
          <w:sz w:val="24"/>
          <w:szCs w:val="24"/>
        </w:rPr>
      </w:pPr>
      <w:r w:rsidRPr="001D72A3">
        <w:rPr>
          <w:rFonts w:ascii="Times New Roman" w:hAnsi="Times New Roman"/>
          <w:b/>
          <w:sz w:val="24"/>
          <w:szCs w:val="24"/>
        </w:rPr>
        <w:t>3.3</w:t>
      </w:r>
      <w:r w:rsidRPr="001D72A3">
        <w:rPr>
          <w:rFonts w:ascii="Times New Roman" w:hAnsi="Times New Roman"/>
          <w:b/>
          <w:sz w:val="24"/>
          <w:szCs w:val="24"/>
        </w:rPr>
        <w:tab/>
        <w:t>Upisovací riziko</w:t>
      </w:r>
    </w:p>
    <w:p w:rsidR="001D72A3" w:rsidRPr="001D72A3" w:rsidRDefault="001D72A3" w:rsidP="001D72A3">
      <w:pPr>
        <w:spacing w:after="0"/>
        <w:rPr>
          <w:rFonts w:ascii="Times New Roman" w:hAnsi="Times New Roman"/>
          <w:b/>
          <w:sz w:val="24"/>
          <w:szCs w:val="24"/>
        </w:rPr>
      </w:pPr>
      <w:r w:rsidRPr="001D72A3">
        <w:rPr>
          <w:rFonts w:ascii="Times New Roman" w:hAnsi="Times New Roman" w:cs="Times New Roman"/>
          <w:b/>
          <w:sz w:val="24"/>
          <w:szCs w:val="24"/>
        </w:rPr>
        <w:t>3.</w:t>
      </w:r>
      <w:r w:rsidRPr="001D72A3">
        <w:rPr>
          <w:rFonts w:ascii="Times New Roman" w:hAnsi="Times New Roman"/>
          <w:b/>
          <w:sz w:val="24"/>
          <w:szCs w:val="24"/>
        </w:rPr>
        <w:t>4</w:t>
      </w:r>
      <w:r w:rsidRPr="001D72A3">
        <w:rPr>
          <w:rFonts w:ascii="Times New Roman" w:hAnsi="Times New Roman" w:cs="Times New Roman"/>
          <w:b/>
          <w:sz w:val="24"/>
          <w:szCs w:val="24"/>
        </w:rPr>
        <w:tab/>
      </w:r>
      <w:r w:rsidRPr="001D72A3">
        <w:rPr>
          <w:rFonts w:ascii="Times New Roman" w:hAnsi="Times New Roman"/>
          <w:b/>
          <w:sz w:val="24"/>
          <w:szCs w:val="24"/>
        </w:rPr>
        <w:t>Operační riziko</w:t>
      </w:r>
    </w:p>
    <w:p w:rsidR="001D72A3" w:rsidRPr="001D72A3" w:rsidRDefault="001D72A3" w:rsidP="001D72A3">
      <w:pPr>
        <w:spacing w:after="0"/>
        <w:rPr>
          <w:rFonts w:ascii="Times New Roman" w:hAnsi="Times New Roman"/>
          <w:b/>
          <w:sz w:val="24"/>
          <w:szCs w:val="24"/>
        </w:rPr>
      </w:pPr>
      <w:r w:rsidRPr="001D72A3">
        <w:rPr>
          <w:rFonts w:ascii="Times New Roman" w:hAnsi="Times New Roman" w:cs="Times New Roman"/>
          <w:b/>
          <w:sz w:val="24"/>
          <w:szCs w:val="24"/>
        </w:rPr>
        <w:t>3.</w:t>
      </w:r>
      <w:r w:rsidRPr="001D72A3">
        <w:rPr>
          <w:rFonts w:ascii="Times New Roman" w:hAnsi="Times New Roman"/>
          <w:b/>
          <w:sz w:val="24"/>
          <w:szCs w:val="24"/>
        </w:rPr>
        <w:t>5</w:t>
      </w:r>
      <w:r w:rsidRPr="001D72A3">
        <w:rPr>
          <w:rFonts w:ascii="Times New Roman" w:hAnsi="Times New Roman" w:cs="Times New Roman"/>
          <w:b/>
          <w:sz w:val="24"/>
          <w:szCs w:val="24"/>
        </w:rPr>
        <w:tab/>
      </w:r>
      <w:r w:rsidRPr="001D72A3">
        <w:rPr>
          <w:rFonts w:ascii="Times New Roman" w:hAnsi="Times New Roman"/>
          <w:b/>
          <w:sz w:val="24"/>
          <w:szCs w:val="24"/>
        </w:rPr>
        <w:t>Riziko likvidity</w:t>
      </w:r>
    </w:p>
    <w:p w:rsidR="001D72A3" w:rsidRPr="001D72A3" w:rsidRDefault="001D72A3" w:rsidP="001D72A3">
      <w:pPr>
        <w:spacing w:after="0"/>
        <w:rPr>
          <w:rFonts w:ascii="Times New Roman" w:hAnsi="Times New Roman"/>
          <w:b/>
          <w:sz w:val="24"/>
          <w:szCs w:val="24"/>
        </w:rPr>
      </w:pPr>
      <w:r w:rsidRPr="001D72A3">
        <w:rPr>
          <w:rFonts w:ascii="Times New Roman" w:hAnsi="Times New Roman" w:cs="Times New Roman"/>
          <w:b/>
          <w:sz w:val="24"/>
          <w:szCs w:val="24"/>
        </w:rPr>
        <w:t>3.</w:t>
      </w:r>
      <w:r w:rsidRPr="001D72A3">
        <w:rPr>
          <w:rFonts w:ascii="Times New Roman" w:hAnsi="Times New Roman"/>
          <w:b/>
          <w:sz w:val="24"/>
          <w:szCs w:val="24"/>
        </w:rPr>
        <w:t>6</w:t>
      </w:r>
      <w:r w:rsidRPr="001D72A3">
        <w:rPr>
          <w:rFonts w:ascii="Times New Roman" w:hAnsi="Times New Roman" w:cs="Times New Roman"/>
          <w:b/>
          <w:sz w:val="24"/>
          <w:szCs w:val="24"/>
        </w:rPr>
        <w:tab/>
      </w:r>
      <w:r w:rsidRPr="001D72A3">
        <w:rPr>
          <w:rFonts w:ascii="Times New Roman" w:hAnsi="Times New Roman"/>
          <w:b/>
          <w:sz w:val="24"/>
          <w:szCs w:val="24"/>
        </w:rPr>
        <w:t>Jiná podstatná rizika</w:t>
      </w:r>
    </w:p>
    <w:p w:rsidR="001D72A3" w:rsidRPr="001D72A3" w:rsidRDefault="001D72A3" w:rsidP="001D72A3">
      <w:pPr>
        <w:spacing w:after="0"/>
        <w:rPr>
          <w:rFonts w:ascii="Times New Roman" w:hAnsi="Times New Roman"/>
          <w:b/>
          <w:sz w:val="24"/>
          <w:szCs w:val="24"/>
        </w:rPr>
      </w:pPr>
      <w:r w:rsidRPr="001D72A3">
        <w:rPr>
          <w:rFonts w:ascii="Times New Roman" w:hAnsi="Times New Roman" w:cs="Times New Roman"/>
          <w:b/>
          <w:sz w:val="24"/>
          <w:szCs w:val="24"/>
        </w:rPr>
        <w:t>3.</w:t>
      </w:r>
      <w:r w:rsidRPr="001D72A3">
        <w:rPr>
          <w:rFonts w:ascii="Times New Roman" w:hAnsi="Times New Roman"/>
          <w:b/>
          <w:sz w:val="24"/>
          <w:szCs w:val="24"/>
        </w:rPr>
        <w:t>7</w:t>
      </w:r>
      <w:r w:rsidRPr="001D72A3">
        <w:rPr>
          <w:rFonts w:ascii="Times New Roman" w:hAnsi="Times New Roman" w:cs="Times New Roman"/>
          <w:b/>
          <w:sz w:val="24"/>
          <w:szCs w:val="24"/>
        </w:rPr>
        <w:tab/>
      </w:r>
      <w:r w:rsidRPr="001D72A3">
        <w:rPr>
          <w:rFonts w:ascii="Times New Roman" w:hAnsi="Times New Roman"/>
          <w:b/>
          <w:sz w:val="24"/>
          <w:szCs w:val="24"/>
        </w:rPr>
        <w:t>Citlivost vůči riziku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3.8</w:t>
      </w:r>
      <w:r w:rsidRPr="001D72A3">
        <w:rPr>
          <w:rFonts w:ascii="Times New Roman" w:hAnsi="Times New Roman" w:cs="Times New Roman"/>
          <w:b/>
          <w:sz w:val="24"/>
          <w:szCs w:val="24"/>
        </w:rPr>
        <w:tab/>
        <w:t>Další informace</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w:t>
      </w:r>
      <w:r w:rsidRPr="001D72A3">
        <w:rPr>
          <w:rFonts w:ascii="Times New Roman" w:hAnsi="Times New Roman" w:cs="Times New Roman"/>
          <w:b/>
          <w:sz w:val="24"/>
          <w:szCs w:val="24"/>
        </w:rPr>
        <w:tab/>
        <w:t>Oceňování pro účely solventnosti</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4.1</w:t>
      </w:r>
      <w:r w:rsidRPr="001D72A3">
        <w:rPr>
          <w:rFonts w:ascii="Times New Roman" w:hAnsi="Times New Roman" w:cs="Times New Roman"/>
          <w:b/>
          <w:sz w:val="24"/>
          <w:szCs w:val="24"/>
        </w:rPr>
        <w:tab/>
        <w:t>Aktiva</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4.2</w:t>
      </w:r>
      <w:r w:rsidRPr="001D72A3">
        <w:rPr>
          <w:rFonts w:ascii="Times New Roman" w:hAnsi="Times New Roman" w:cs="Times New Roman"/>
          <w:b/>
          <w:sz w:val="24"/>
          <w:szCs w:val="24"/>
        </w:rPr>
        <w:tab/>
        <w:t>Technické rezervy</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4.3</w:t>
      </w:r>
      <w:r w:rsidRPr="001D72A3">
        <w:rPr>
          <w:rFonts w:ascii="Times New Roman" w:hAnsi="Times New Roman" w:cs="Times New Roman"/>
          <w:b/>
          <w:sz w:val="24"/>
          <w:szCs w:val="24"/>
        </w:rPr>
        <w:tab/>
        <w:t>Další závazky</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4.4</w:t>
      </w:r>
      <w:r w:rsidRPr="001D72A3">
        <w:rPr>
          <w:rFonts w:ascii="Times New Roman" w:hAnsi="Times New Roman" w:cs="Times New Roman"/>
          <w:b/>
          <w:sz w:val="24"/>
          <w:szCs w:val="24"/>
        </w:rPr>
        <w:tab/>
        <w:t>Alternativní metody oceňování</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4.5</w:t>
      </w:r>
      <w:r w:rsidRPr="001D72A3">
        <w:rPr>
          <w:rFonts w:ascii="Times New Roman" w:hAnsi="Times New Roman" w:cs="Times New Roman"/>
          <w:b/>
          <w:sz w:val="24"/>
          <w:szCs w:val="24"/>
        </w:rPr>
        <w:tab/>
        <w:t>Další informace</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w:t>
      </w:r>
      <w:r w:rsidRPr="001D72A3">
        <w:rPr>
          <w:rFonts w:ascii="Times New Roman" w:hAnsi="Times New Roman" w:cs="Times New Roman"/>
          <w:b/>
          <w:sz w:val="24"/>
          <w:szCs w:val="24"/>
        </w:rPr>
        <w:tab/>
        <w:t>Řízení kapitálu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5.1</w:t>
      </w:r>
      <w:r w:rsidRPr="001D72A3">
        <w:rPr>
          <w:rFonts w:ascii="Times New Roman" w:hAnsi="Times New Roman" w:cs="Times New Roman"/>
          <w:b/>
          <w:sz w:val="24"/>
          <w:szCs w:val="24"/>
        </w:rPr>
        <w:tab/>
        <w:t>Kapitál</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5.2</w:t>
      </w:r>
      <w:r w:rsidRPr="001D72A3">
        <w:rPr>
          <w:rFonts w:ascii="Times New Roman" w:hAnsi="Times New Roman" w:cs="Times New Roman"/>
          <w:b/>
          <w:sz w:val="24"/>
          <w:szCs w:val="24"/>
        </w:rPr>
        <w:tab/>
        <w:t>Solventnostní kapitálový požadavek a minimální kapitálový požadavek</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5.3</w:t>
      </w:r>
      <w:r w:rsidRPr="001D72A3">
        <w:rPr>
          <w:rFonts w:ascii="Times New Roman" w:hAnsi="Times New Roman" w:cs="Times New Roman"/>
          <w:b/>
          <w:sz w:val="24"/>
          <w:szCs w:val="24"/>
        </w:rPr>
        <w:tab/>
        <w:t>Použití podmodulu akciového rizika založeného na duraci při výpočtu solventnostního kapitálového požadavku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5.4</w:t>
      </w:r>
      <w:r w:rsidRPr="001D72A3">
        <w:rPr>
          <w:rFonts w:ascii="Times New Roman" w:hAnsi="Times New Roman" w:cs="Times New Roman"/>
          <w:b/>
          <w:sz w:val="24"/>
          <w:szCs w:val="24"/>
        </w:rPr>
        <w:tab/>
        <w:t>Nedodržení minimálního kapitálového požadavku a nedodržení solventnostního kapitálového požadavku</w:t>
      </w:r>
    </w:p>
    <w:p w:rsidR="001D72A3" w:rsidRP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5.5</w:t>
      </w:r>
      <w:r w:rsidRPr="001D72A3">
        <w:rPr>
          <w:rFonts w:ascii="Times New Roman" w:hAnsi="Times New Roman" w:cs="Times New Roman"/>
          <w:b/>
          <w:sz w:val="24"/>
          <w:szCs w:val="24"/>
        </w:rPr>
        <w:tab/>
        <w:t>Další informace</w:t>
      </w:r>
    </w:p>
    <w:p w:rsidR="001D72A3" w:rsidRDefault="001D72A3" w:rsidP="001D72A3">
      <w:pPr>
        <w:spacing w:after="0"/>
        <w:rPr>
          <w:rFonts w:ascii="Times New Roman" w:hAnsi="Times New Roman" w:cs="Times New Roman"/>
          <w:b/>
          <w:sz w:val="24"/>
          <w:szCs w:val="24"/>
        </w:rPr>
      </w:pPr>
      <w:r w:rsidRPr="001D72A3">
        <w:rPr>
          <w:rFonts w:ascii="Times New Roman" w:hAnsi="Times New Roman" w:cs="Times New Roman"/>
          <w:b/>
          <w:sz w:val="24"/>
          <w:szCs w:val="24"/>
        </w:rPr>
        <w:t>6</w:t>
      </w:r>
      <w:r w:rsidRPr="001D72A3">
        <w:rPr>
          <w:rFonts w:ascii="Times New Roman" w:hAnsi="Times New Roman" w:cs="Times New Roman"/>
          <w:b/>
          <w:sz w:val="24"/>
          <w:szCs w:val="24"/>
        </w:rPr>
        <w:tab/>
        <w:t>Přílohy</w:t>
      </w:r>
    </w:p>
    <w:p w:rsidR="004E1F5A" w:rsidRPr="001D72A3" w:rsidRDefault="004E1F5A" w:rsidP="001D72A3">
      <w:pPr>
        <w:spacing w:after="0"/>
        <w:rPr>
          <w:rFonts w:ascii="Times New Roman" w:hAnsi="Times New Roman" w:cs="Times New Roman"/>
          <w:b/>
          <w:sz w:val="24"/>
          <w:szCs w:val="24"/>
        </w:rPr>
      </w:pPr>
    </w:p>
    <w:p w:rsidR="004E1F5A" w:rsidRDefault="004E1F5A">
      <w:pPr>
        <w:rPr>
          <w:rFonts w:ascii="Times New Roman" w:hAnsi="Times New Roman" w:cs="Times New Roman"/>
          <w:b/>
          <w:sz w:val="28"/>
          <w:szCs w:val="28"/>
        </w:rPr>
      </w:pPr>
      <w:r>
        <w:rPr>
          <w:rFonts w:ascii="Times New Roman" w:hAnsi="Times New Roman" w:cs="Times New Roman"/>
          <w:b/>
          <w:sz w:val="28"/>
          <w:szCs w:val="28"/>
        </w:rPr>
        <w:br w:type="page"/>
      </w:r>
    </w:p>
    <w:p w:rsidR="00D84C0D" w:rsidRPr="00D84C0D" w:rsidRDefault="00D84C0D" w:rsidP="00D84C0D">
      <w:pPr>
        <w:rPr>
          <w:rFonts w:ascii="Times New Roman" w:hAnsi="Times New Roman" w:cs="Times New Roman"/>
          <w:b/>
          <w:sz w:val="28"/>
          <w:szCs w:val="28"/>
        </w:rPr>
      </w:pPr>
      <w:r w:rsidRPr="00D84C0D">
        <w:rPr>
          <w:rFonts w:ascii="Times New Roman" w:hAnsi="Times New Roman" w:cs="Times New Roman"/>
          <w:b/>
          <w:sz w:val="28"/>
          <w:szCs w:val="28"/>
        </w:rPr>
        <w:lastRenderedPageBreak/>
        <w:t>1</w:t>
      </w:r>
      <w:r w:rsidRPr="00D84C0D">
        <w:rPr>
          <w:rFonts w:ascii="Times New Roman" w:hAnsi="Times New Roman" w:cs="Times New Roman"/>
          <w:b/>
          <w:sz w:val="28"/>
          <w:szCs w:val="28"/>
        </w:rPr>
        <w:tab/>
        <w:t>Činnost a výsledky</w:t>
      </w:r>
    </w:p>
    <w:p w:rsidR="00D84C0D" w:rsidRPr="00D84C0D" w:rsidRDefault="00D84C0D" w:rsidP="00D84C0D">
      <w:pPr>
        <w:rPr>
          <w:rFonts w:ascii="Times New Roman" w:hAnsi="Times New Roman" w:cs="Times New Roman"/>
          <w:b/>
          <w:sz w:val="28"/>
          <w:szCs w:val="28"/>
        </w:rPr>
      </w:pPr>
      <w:r w:rsidRPr="00D84C0D">
        <w:rPr>
          <w:rFonts w:ascii="Times New Roman" w:hAnsi="Times New Roman" w:cs="Times New Roman"/>
          <w:b/>
          <w:sz w:val="28"/>
          <w:szCs w:val="28"/>
        </w:rPr>
        <w:t>1.1</w:t>
      </w:r>
      <w:r w:rsidRPr="00D84C0D">
        <w:rPr>
          <w:rFonts w:ascii="Times New Roman" w:hAnsi="Times New Roman" w:cs="Times New Roman"/>
          <w:b/>
          <w:sz w:val="28"/>
          <w:szCs w:val="28"/>
        </w:rPr>
        <w:tab/>
        <w:t>Činnost</w:t>
      </w:r>
    </w:p>
    <w:p w:rsidR="00D84C0D" w:rsidRPr="00D84C0D" w:rsidRDefault="00D84C0D" w:rsidP="00D84C0D">
      <w:pPr>
        <w:rPr>
          <w:rFonts w:ascii="Times New Roman" w:hAnsi="Times New Roman" w:cs="Times New Roman"/>
          <w:b/>
          <w:sz w:val="28"/>
          <w:szCs w:val="28"/>
        </w:rPr>
      </w:pPr>
      <w:r w:rsidRPr="00D84C0D">
        <w:rPr>
          <w:rFonts w:ascii="Times New Roman" w:hAnsi="Times New Roman" w:cs="Times New Roman"/>
          <w:b/>
          <w:sz w:val="28"/>
          <w:szCs w:val="28"/>
        </w:rPr>
        <w:t>Základní údaje o společnosti</w:t>
      </w:r>
    </w:p>
    <w:p w:rsidR="00D84C0D" w:rsidRPr="00D84C0D" w:rsidRDefault="00D84C0D" w:rsidP="00D84C0D">
      <w:pPr>
        <w:rPr>
          <w:rFonts w:ascii="Times New Roman" w:hAnsi="Times New Roman" w:cs="Times New Roman"/>
          <w:sz w:val="24"/>
          <w:szCs w:val="24"/>
        </w:rPr>
      </w:pPr>
      <w:r w:rsidRPr="00D84C0D">
        <w:rPr>
          <w:rFonts w:ascii="Times New Roman" w:hAnsi="Times New Roman" w:cs="Times New Roman"/>
          <w:sz w:val="24"/>
          <w:szCs w:val="24"/>
        </w:rPr>
        <w:t>Název společnosti:</w:t>
      </w:r>
      <w:r w:rsidR="009A142C">
        <w:rPr>
          <w:rFonts w:ascii="Times New Roman" w:hAnsi="Times New Roman" w:cs="Times New Roman"/>
          <w:sz w:val="24"/>
          <w:szCs w:val="24"/>
        </w:rPr>
        <w:t xml:space="preserve"> Servisní pojišťovna, a.s. </w:t>
      </w:r>
    </w:p>
    <w:p w:rsidR="00D84C0D" w:rsidRPr="00D84C0D" w:rsidRDefault="00D84C0D" w:rsidP="009A142C">
      <w:pPr>
        <w:rPr>
          <w:rFonts w:ascii="Times New Roman" w:hAnsi="Times New Roman" w:cs="Times New Roman"/>
          <w:sz w:val="24"/>
          <w:szCs w:val="24"/>
        </w:rPr>
      </w:pPr>
      <w:r w:rsidRPr="00D84C0D">
        <w:rPr>
          <w:rFonts w:ascii="Times New Roman" w:hAnsi="Times New Roman" w:cs="Times New Roman"/>
          <w:sz w:val="24"/>
          <w:szCs w:val="24"/>
        </w:rPr>
        <w:t>Sídlo:</w:t>
      </w:r>
      <w:r w:rsidR="009A142C" w:rsidRPr="009A142C">
        <w:t xml:space="preserve"> </w:t>
      </w:r>
      <w:r w:rsidR="009A142C">
        <w:rPr>
          <w:rFonts w:ascii="Times New Roman" w:hAnsi="Times New Roman" w:cs="Times New Roman"/>
          <w:sz w:val="24"/>
          <w:szCs w:val="24"/>
        </w:rPr>
        <w:t xml:space="preserve">Tomáše Bati 627, </w:t>
      </w:r>
      <w:r w:rsidR="009A142C" w:rsidRPr="009A142C">
        <w:rPr>
          <w:rFonts w:ascii="Times New Roman" w:hAnsi="Times New Roman" w:cs="Times New Roman"/>
          <w:sz w:val="24"/>
          <w:szCs w:val="24"/>
        </w:rPr>
        <w:t>760 01 Zlín</w:t>
      </w:r>
    </w:p>
    <w:p w:rsidR="00D84C0D" w:rsidRPr="00D84C0D" w:rsidRDefault="00D84C0D" w:rsidP="00D84C0D">
      <w:pPr>
        <w:rPr>
          <w:rFonts w:ascii="Times New Roman" w:hAnsi="Times New Roman" w:cs="Times New Roman"/>
          <w:sz w:val="24"/>
          <w:szCs w:val="24"/>
        </w:rPr>
      </w:pPr>
      <w:r w:rsidRPr="00D84C0D">
        <w:rPr>
          <w:rFonts w:ascii="Times New Roman" w:hAnsi="Times New Roman" w:cs="Times New Roman"/>
          <w:sz w:val="24"/>
          <w:szCs w:val="24"/>
        </w:rPr>
        <w:t>Právní forma:</w:t>
      </w:r>
      <w:r w:rsidR="009A142C" w:rsidRPr="009A142C">
        <w:t xml:space="preserve"> </w:t>
      </w:r>
      <w:r w:rsidR="009A142C">
        <w:rPr>
          <w:rFonts w:ascii="Times New Roman" w:hAnsi="Times New Roman" w:cs="Times New Roman"/>
          <w:sz w:val="24"/>
          <w:szCs w:val="24"/>
        </w:rPr>
        <w:t>akciová společnost</w:t>
      </w:r>
    </w:p>
    <w:p w:rsidR="00D84C0D" w:rsidRPr="00D84C0D" w:rsidRDefault="00D84C0D" w:rsidP="00D84C0D">
      <w:pPr>
        <w:rPr>
          <w:rFonts w:ascii="Times New Roman" w:hAnsi="Times New Roman" w:cs="Times New Roman"/>
          <w:sz w:val="24"/>
          <w:szCs w:val="24"/>
        </w:rPr>
      </w:pPr>
      <w:r w:rsidRPr="00D84C0D">
        <w:rPr>
          <w:rFonts w:ascii="Times New Roman" w:hAnsi="Times New Roman" w:cs="Times New Roman"/>
          <w:sz w:val="24"/>
          <w:szCs w:val="24"/>
        </w:rPr>
        <w:t xml:space="preserve">Orgán dohledu: </w:t>
      </w:r>
      <w:r w:rsidR="009A142C" w:rsidRPr="009A142C">
        <w:rPr>
          <w:rFonts w:ascii="Times New Roman" w:hAnsi="Times New Roman" w:cs="Times New Roman"/>
          <w:sz w:val="24"/>
          <w:szCs w:val="24"/>
        </w:rPr>
        <w:t>Česká národní banka, Na Příkopě 28, 115 03 Praha 1</w:t>
      </w:r>
    </w:p>
    <w:p w:rsidR="00D84C0D" w:rsidRDefault="00D84C0D" w:rsidP="00D84C0D">
      <w:pPr>
        <w:rPr>
          <w:rFonts w:ascii="Times New Roman" w:hAnsi="Times New Roman" w:cs="Times New Roman"/>
          <w:sz w:val="24"/>
          <w:szCs w:val="24"/>
        </w:rPr>
      </w:pPr>
      <w:r>
        <w:rPr>
          <w:rFonts w:ascii="Times New Roman" w:hAnsi="Times New Roman" w:cs="Times New Roman"/>
          <w:sz w:val="24"/>
          <w:szCs w:val="24"/>
        </w:rPr>
        <w:t>Struktura akcionářů</w:t>
      </w:r>
      <w:r w:rsidRPr="00D84C0D">
        <w:rPr>
          <w:rFonts w:ascii="Times New Roman" w:hAnsi="Times New Roman" w:cs="Times New Roman"/>
          <w:sz w:val="24"/>
          <w:szCs w:val="24"/>
        </w:rPr>
        <w:t>:</w:t>
      </w:r>
    </w:p>
    <w:p w:rsidR="009A142C" w:rsidRPr="009A142C" w:rsidRDefault="009A142C" w:rsidP="003F4A6C">
      <w:pPr>
        <w:pStyle w:val="Odstavecseseznamem"/>
        <w:numPr>
          <w:ilvl w:val="0"/>
          <w:numId w:val="1"/>
        </w:numPr>
        <w:rPr>
          <w:rFonts w:ascii="Times New Roman" w:hAnsi="Times New Roman" w:cs="Times New Roman"/>
          <w:sz w:val="24"/>
          <w:szCs w:val="24"/>
        </w:rPr>
      </w:pPr>
      <w:r w:rsidRPr="009A142C">
        <w:rPr>
          <w:rFonts w:ascii="Times New Roman" w:hAnsi="Times New Roman" w:cs="Times New Roman"/>
          <w:sz w:val="24"/>
          <w:szCs w:val="24"/>
        </w:rPr>
        <w:t>JUDr. Ing. Ladislav Samohýl: 98%</w:t>
      </w:r>
    </w:p>
    <w:p w:rsidR="009A142C" w:rsidRPr="009A142C" w:rsidRDefault="009A142C" w:rsidP="003F4A6C">
      <w:pPr>
        <w:pStyle w:val="Odstavecseseznamem"/>
        <w:numPr>
          <w:ilvl w:val="0"/>
          <w:numId w:val="1"/>
        </w:numPr>
        <w:rPr>
          <w:rFonts w:ascii="Times New Roman" w:hAnsi="Times New Roman" w:cs="Times New Roman"/>
          <w:sz w:val="24"/>
          <w:szCs w:val="24"/>
        </w:rPr>
      </w:pPr>
      <w:r w:rsidRPr="009A142C">
        <w:rPr>
          <w:rFonts w:ascii="Times New Roman" w:hAnsi="Times New Roman" w:cs="Times New Roman"/>
          <w:sz w:val="24"/>
          <w:szCs w:val="24"/>
        </w:rPr>
        <w:t>Ludmila Samohýlová: 2%</w:t>
      </w:r>
    </w:p>
    <w:p w:rsidR="00D84C0D" w:rsidRPr="009A142C" w:rsidRDefault="009C5C8F" w:rsidP="009A142C">
      <w:pPr>
        <w:rPr>
          <w:rFonts w:ascii="Times New Roman" w:hAnsi="Times New Roman" w:cs="Times New Roman"/>
          <w:sz w:val="24"/>
          <w:szCs w:val="24"/>
        </w:rPr>
      </w:pPr>
      <w:r>
        <w:rPr>
          <w:rFonts w:ascii="Times New Roman" w:hAnsi="Times New Roman" w:cs="Times New Roman"/>
          <w:sz w:val="24"/>
          <w:szCs w:val="24"/>
        </w:rPr>
        <w:t>Podstatné druhy pojištění: Pojišťovna uzavírá pouze h</w:t>
      </w:r>
      <w:r w:rsidR="00B3348D" w:rsidRPr="009A142C">
        <w:rPr>
          <w:rFonts w:ascii="Times New Roman" w:hAnsi="Times New Roman" w:cs="Times New Roman"/>
          <w:sz w:val="24"/>
          <w:szCs w:val="24"/>
        </w:rPr>
        <w:t>avarijní pojištění</w:t>
      </w:r>
      <w:r>
        <w:rPr>
          <w:rFonts w:ascii="Times New Roman" w:hAnsi="Times New Roman" w:cs="Times New Roman"/>
          <w:sz w:val="24"/>
          <w:szCs w:val="24"/>
        </w:rPr>
        <w:t xml:space="preserve"> motorových vozidel</w:t>
      </w:r>
    </w:p>
    <w:p w:rsidR="00D84C0D" w:rsidRDefault="00D84C0D" w:rsidP="00D84C0D">
      <w:pPr>
        <w:rPr>
          <w:rFonts w:ascii="Times New Roman" w:hAnsi="Times New Roman" w:cs="Times New Roman"/>
          <w:sz w:val="24"/>
          <w:szCs w:val="24"/>
        </w:rPr>
      </w:pPr>
      <w:r w:rsidRPr="00D84C0D">
        <w:rPr>
          <w:rFonts w:ascii="Times New Roman" w:hAnsi="Times New Roman" w:cs="Times New Roman"/>
          <w:sz w:val="24"/>
          <w:szCs w:val="24"/>
        </w:rPr>
        <w:t>Podstatné zeměpisné oblasti působení pojišťovny:</w:t>
      </w:r>
      <w:r w:rsidR="009C5C8F">
        <w:rPr>
          <w:rFonts w:ascii="Times New Roman" w:hAnsi="Times New Roman" w:cs="Times New Roman"/>
          <w:sz w:val="24"/>
          <w:szCs w:val="24"/>
        </w:rPr>
        <w:t xml:space="preserve"> Pojišťovna uzavírá smlouvy pouze na území České republiky </w:t>
      </w:r>
    </w:p>
    <w:p w:rsidR="00962F94" w:rsidRDefault="00CC3BB6" w:rsidP="00D84C0D">
      <w:pPr>
        <w:rPr>
          <w:rFonts w:ascii="Times New Roman" w:hAnsi="Times New Roman" w:cs="Times New Roman"/>
          <w:sz w:val="24"/>
          <w:szCs w:val="24"/>
        </w:rPr>
      </w:pPr>
      <w:r>
        <w:rPr>
          <w:rFonts w:ascii="Times New Roman" w:hAnsi="Times New Roman" w:cs="Times New Roman"/>
          <w:sz w:val="24"/>
          <w:szCs w:val="24"/>
        </w:rPr>
        <w:t xml:space="preserve">Základem produktové nabídky je Havarijní pojištění vozidel v různých variantách spoluúčastí. Doplňková připojištění pak dále rozšiřují nabídku hlavního pojištění . </w:t>
      </w:r>
      <w:r w:rsidR="00962F94">
        <w:rPr>
          <w:rFonts w:ascii="Times New Roman" w:hAnsi="Times New Roman" w:cs="Times New Roman"/>
          <w:sz w:val="24"/>
          <w:szCs w:val="24"/>
        </w:rPr>
        <w:br/>
      </w:r>
      <w:r>
        <w:rPr>
          <w:rFonts w:ascii="Times New Roman" w:hAnsi="Times New Roman" w:cs="Times New Roman"/>
          <w:sz w:val="24"/>
          <w:szCs w:val="24"/>
        </w:rPr>
        <w:t xml:space="preserve">Pojistné produkty jsou nabízeny  k novým vozidlům při prodeji na autosalonech a také ke starším , ojetým vozům do deseti let stáří. Primárně se pojišťovna soustředí na klienty z regionu </w:t>
      </w:r>
      <w:r w:rsidR="00962F94">
        <w:rPr>
          <w:rFonts w:ascii="Times New Roman" w:hAnsi="Times New Roman" w:cs="Times New Roman"/>
          <w:sz w:val="24"/>
          <w:szCs w:val="24"/>
        </w:rPr>
        <w:t>Moravy. V této regionální oblasti je efektivně využívána spolupráce se smluvními servisy při likvidaci následků pojistných událostí. Speciálním produktem v nabídce pojišťovny je pojištění historických vozidel – veteránů. Díky úzké spolupráci s renovátorskými dílnami umí pojišťovna nabídnout tento produkt včetně kvalitního odstranění následků pojistných událostí.</w:t>
      </w:r>
    </w:p>
    <w:p w:rsidR="009C5C8F" w:rsidRPr="009C5C8F" w:rsidRDefault="00962F94" w:rsidP="00181328">
      <w:pPr>
        <w:rPr>
          <w:rFonts w:ascii="Times New Roman" w:hAnsi="Times New Roman" w:cs="Times New Roman"/>
          <w:sz w:val="24"/>
          <w:szCs w:val="24"/>
          <w:highlight w:val="red"/>
        </w:rPr>
      </w:pPr>
      <w:r>
        <w:rPr>
          <w:rFonts w:ascii="Times New Roman" w:hAnsi="Times New Roman" w:cs="Times New Roman"/>
          <w:sz w:val="24"/>
          <w:szCs w:val="24"/>
        </w:rPr>
        <w:t xml:space="preserve">I nadále se bude </w:t>
      </w:r>
      <w:r w:rsidR="00CC3BB6">
        <w:rPr>
          <w:rFonts w:ascii="Times New Roman" w:hAnsi="Times New Roman" w:cs="Times New Roman"/>
          <w:sz w:val="24"/>
          <w:szCs w:val="24"/>
        </w:rPr>
        <w:t xml:space="preserve"> </w:t>
      </w:r>
      <w:r w:rsidR="00C36485">
        <w:rPr>
          <w:rFonts w:ascii="Times New Roman" w:hAnsi="Times New Roman" w:cs="Times New Roman"/>
          <w:sz w:val="24"/>
          <w:szCs w:val="24"/>
        </w:rPr>
        <w:t xml:space="preserve">Pojišťovna </w:t>
      </w:r>
      <w:r w:rsidR="00CC3BB6">
        <w:rPr>
          <w:rFonts w:ascii="Times New Roman" w:hAnsi="Times New Roman" w:cs="Times New Roman"/>
          <w:sz w:val="24"/>
          <w:szCs w:val="24"/>
        </w:rPr>
        <w:t xml:space="preserve"> </w:t>
      </w:r>
      <w:r w:rsidR="00C36485">
        <w:rPr>
          <w:rFonts w:ascii="Times New Roman" w:hAnsi="Times New Roman" w:cs="Times New Roman"/>
          <w:sz w:val="24"/>
          <w:szCs w:val="24"/>
        </w:rPr>
        <w:t>zaměřovat pouze na produkty Havarijního pojištění vozidel a doplňkových připojištění.</w:t>
      </w:r>
      <w:r w:rsidR="00181328">
        <w:rPr>
          <w:rFonts w:ascii="Times New Roman" w:hAnsi="Times New Roman" w:cs="Times New Roman"/>
          <w:sz w:val="24"/>
          <w:szCs w:val="24"/>
        </w:rPr>
        <w:t xml:space="preserve"> </w:t>
      </w:r>
      <w:r w:rsidR="00C36485">
        <w:rPr>
          <w:rFonts w:ascii="Times New Roman" w:hAnsi="Times New Roman" w:cs="Times New Roman"/>
          <w:sz w:val="24"/>
          <w:szCs w:val="24"/>
        </w:rPr>
        <w:t xml:space="preserve"> </w:t>
      </w:r>
      <w:r w:rsidR="00181328">
        <w:rPr>
          <w:rFonts w:ascii="Times New Roman" w:hAnsi="Times New Roman" w:cs="Times New Roman"/>
          <w:sz w:val="24"/>
          <w:szCs w:val="24"/>
        </w:rPr>
        <w:t xml:space="preserve">Produktová </w:t>
      </w:r>
      <w:r>
        <w:rPr>
          <w:rFonts w:ascii="Times New Roman" w:hAnsi="Times New Roman" w:cs="Times New Roman"/>
          <w:sz w:val="24"/>
          <w:szCs w:val="24"/>
        </w:rPr>
        <w:t xml:space="preserve"> modifikace </w:t>
      </w:r>
      <w:r w:rsidR="00181328">
        <w:rPr>
          <w:rFonts w:ascii="Times New Roman" w:hAnsi="Times New Roman" w:cs="Times New Roman"/>
          <w:sz w:val="24"/>
          <w:szCs w:val="24"/>
        </w:rPr>
        <w:t>a inovace bude probíhat průběžně, v reakci na potřeby klientů a vývoj pojistného trhu.</w:t>
      </w:r>
      <w:r w:rsidR="00C36485">
        <w:rPr>
          <w:rFonts w:ascii="Times New Roman" w:hAnsi="Times New Roman" w:cs="Times New Roman"/>
          <w:sz w:val="24"/>
          <w:szCs w:val="24"/>
        </w:rPr>
        <w:br/>
        <w:t xml:space="preserve"> </w:t>
      </w:r>
    </w:p>
    <w:p w:rsidR="009C5C8F" w:rsidRDefault="009C5C8F" w:rsidP="00D84C0D">
      <w:pPr>
        <w:rPr>
          <w:rFonts w:ascii="Times New Roman" w:hAnsi="Times New Roman" w:cs="Times New Roman"/>
          <w:sz w:val="24"/>
          <w:szCs w:val="24"/>
        </w:rPr>
      </w:pPr>
      <w:r w:rsidRPr="009C5C8F">
        <w:rPr>
          <w:rFonts w:ascii="Times New Roman" w:hAnsi="Times New Roman" w:cs="Times New Roman"/>
          <w:sz w:val="24"/>
          <w:szCs w:val="24"/>
        </w:rPr>
        <w:t>Průměrný přepočtený stav zaměstnanců k rozhodnému datu</w:t>
      </w:r>
      <w:r>
        <w:rPr>
          <w:rFonts w:ascii="Times New Roman" w:hAnsi="Times New Roman" w:cs="Times New Roman"/>
          <w:sz w:val="24"/>
          <w:szCs w:val="24"/>
        </w:rPr>
        <w:t xml:space="preserve"> je</w:t>
      </w:r>
      <w:r w:rsidRPr="009C5C8F">
        <w:rPr>
          <w:rFonts w:ascii="Times New Roman" w:hAnsi="Times New Roman" w:cs="Times New Roman"/>
          <w:sz w:val="24"/>
          <w:szCs w:val="24"/>
        </w:rPr>
        <w:t xml:space="preserve"> 14</w:t>
      </w:r>
      <w:r>
        <w:rPr>
          <w:rFonts w:ascii="Times New Roman" w:hAnsi="Times New Roman" w:cs="Times New Roman"/>
          <w:sz w:val="24"/>
          <w:szCs w:val="24"/>
        </w:rPr>
        <w:t>, pojišťovna nemá žádné přidružené podniky ani pobočky.</w:t>
      </w:r>
    </w:p>
    <w:p w:rsidR="00D84C0D" w:rsidRPr="00D84C0D" w:rsidRDefault="00D84C0D" w:rsidP="00D84C0D">
      <w:pPr>
        <w:rPr>
          <w:rFonts w:ascii="Times New Roman" w:hAnsi="Times New Roman" w:cs="Times New Roman"/>
          <w:b/>
          <w:sz w:val="28"/>
          <w:szCs w:val="28"/>
        </w:rPr>
      </w:pPr>
      <w:r w:rsidRPr="00D84C0D">
        <w:rPr>
          <w:rFonts w:ascii="Times New Roman" w:hAnsi="Times New Roman" w:cs="Times New Roman"/>
          <w:b/>
          <w:sz w:val="28"/>
          <w:szCs w:val="28"/>
        </w:rPr>
        <w:t>1.2</w:t>
      </w:r>
      <w:r w:rsidRPr="00D84C0D">
        <w:rPr>
          <w:rFonts w:ascii="Times New Roman" w:hAnsi="Times New Roman" w:cs="Times New Roman"/>
          <w:b/>
          <w:sz w:val="28"/>
          <w:szCs w:val="28"/>
        </w:rPr>
        <w:tab/>
        <w:t>Výsledky v oblasti upisování</w:t>
      </w:r>
    </w:p>
    <w:p w:rsidR="00D84C0D" w:rsidRDefault="009C5C8F" w:rsidP="00D84C0D">
      <w:pPr>
        <w:rPr>
          <w:rFonts w:ascii="Times New Roman" w:hAnsi="Times New Roman" w:cs="Times New Roman"/>
          <w:sz w:val="24"/>
          <w:szCs w:val="24"/>
        </w:rPr>
      </w:pPr>
      <w:r>
        <w:rPr>
          <w:rFonts w:ascii="Times New Roman" w:hAnsi="Times New Roman" w:cs="Times New Roman"/>
          <w:sz w:val="24"/>
          <w:szCs w:val="24"/>
        </w:rPr>
        <w:t>Pojišťovna poskytuje pouze havarijní pojištění motorových vozidel, p</w:t>
      </w:r>
      <w:r w:rsidR="00D84C0D" w:rsidRPr="00D84C0D">
        <w:rPr>
          <w:rFonts w:ascii="Times New Roman" w:hAnsi="Times New Roman" w:cs="Times New Roman"/>
          <w:sz w:val="24"/>
          <w:szCs w:val="24"/>
        </w:rPr>
        <w:t xml:space="preserve">řehled o pojištění v letech 2016 a 2015 je </w:t>
      </w:r>
      <w:r>
        <w:rPr>
          <w:rFonts w:ascii="Times New Roman" w:hAnsi="Times New Roman" w:cs="Times New Roman"/>
          <w:sz w:val="24"/>
          <w:szCs w:val="24"/>
        </w:rPr>
        <w:t>uveden v následující tabulce</w:t>
      </w:r>
      <w:r w:rsidR="00D84C0D" w:rsidRPr="00D84C0D">
        <w:rPr>
          <w:rFonts w:ascii="Times New Roman" w:hAnsi="Times New Roman" w:cs="Times New Roman"/>
          <w:sz w:val="24"/>
          <w:szCs w:val="24"/>
        </w:rPr>
        <w:t>:</w:t>
      </w:r>
    </w:p>
    <w:p w:rsidR="003570CF" w:rsidRDefault="003570CF" w:rsidP="00D84C0D">
      <w:pPr>
        <w:rPr>
          <w:rFonts w:ascii="Times New Roman" w:hAnsi="Times New Roman" w:cs="Times New Roman"/>
          <w:sz w:val="24"/>
          <w:szCs w:val="24"/>
        </w:rPr>
      </w:pPr>
    </w:p>
    <w:tbl>
      <w:tblPr>
        <w:tblW w:w="8744" w:type="dxa"/>
        <w:jc w:val="center"/>
        <w:tblInd w:w="55" w:type="dxa"/>
        <w:tblCellMar>
          <w:left w:w="70" w:type="dxa"/>
          <w:right w:w="70" w:type="dxa"/>
        </w:tblCellMar>
        <w:tblLook w:val="04A0" w:firstRow="1" w:lastRow="0" w:firstColumn="1" w:lastColumn="0" w:noHBand="0" w:noVBand="1"/>
      </w:tblPr>
      <w:tblGrid>
        <w:gridCol w:w="1671"/>
        <w:gridCol w:w="960"/>
        <w:gridCol w:w="2151"/>
        <w:gridCol w:w="2001"/>
        <w:gridCol w:w="1961"/>
      </w:tblGrid>
      <w:tr w:rsidR="00456F12" w:rsidRPr="00456F12" w:rsidTr="00B3348D">
        <w:trPr>
          <w:trHeight w:val="300"/>
          <w:jc w:val="center"/>
        </w:trPr>
        <w:tc>
          <w:tcPr>
            <w:tcW w:w="167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456F12" w:rsidRPr="00456F12" w:rsidRDefault="00456F12" w:rsidP="00456F12">
            <w:pPr>
              <w:spacing w:after="0" w:line="240" w:lineRule="auto"/>
              <w:jc w:val="center"/>
              <w:rPr>
                <w:rFonts w:ascii="Arial" w:eastAsia="Times New Roman" w:hAnsi="Arial" w:cs="Arial"/>
                <w:b/>
                <w:bCs/>
                <w:color w:val="FFFFFF"/>
                <w:sz w:val="18"/>
                <w:szCs w:val="18"/>
                <w:lang w:eastAsia="cs-CZ"/>
              </w:rPr>
            </w:pPr>
            <w:r w:rsidRPr="00456F12">
              <w:rPr>
                <w:rFonts w:ascii="Arial" w:eastAsia="Times New Roman" w:hAnsi="Arial" w:cs="Arial"/>
                <w:b/>
                <w:bCs/>
                <w:color w:val="FFFFFF" w:themeColor="background1"/>
                <w:sz w:val="18"/>
                <w:szCs w:val="18"/>
                <w:lang w:eastAsia="cs-CZ"/>
              </w:rPr>
              <w:t>LOB</w:t>
            </w:r>
          </w:p>
        </w:tc>
        <w:tc>
          <w:tcPr>
            <w:tcW w:w="960" w:type="dxa"/>
            <w:tcBorders>
              <w:top w:val="single" w:sz="4" w:space="0" w:color="auto"/>
              <w:left w:val="nil"/>
              <w:bottom w:val="single" w:sz="4" w:space="0" w:color="auto"/>
              <w:right w:val="single" w:sz="4" w:space="0" w:color="auto"/>
            </w:tcBorders>
            <w:shd w:val="clear" w:color="000000" w:fill="92D050"/>
            <w:vAlign w:val="center"/>
            <w:hideMark/>
          </w:tcPr>
          <w:p w:rsidR="00456F12" w:rsidRPr="00456F12" w:rsidRDefault="00456F12" w:rsidP="00456F12">
            <w:pPr>
              <w:spacing w:after="0" w:line="240" w:lineRule="auto"/>
              <w:jc w:val="center"/>
              <w:rPr>
                <w:rFonts w:ascii="Arial" w:eastAsia="Times New Roman" w:hAnsi="Arial" w:cs="Arial"/>
                <w:b/>
                <w:bCs/>
                <w:color w:val="FFFFFF"/>
                <w:sz w:val="18"/>
                <w:szCs w:val="18"/>
                <w:lang w:eastAsia="cs-CZ"/>
              </w:rPr>
            </w:pPr>
            <w:r w:rsidRPr="00456F12">
              <w:rPr>
                <w:rFonts w:ascii="Arial" w:eastAsia="Times New Roman" w:hAnsi="Arial" w:cs="Arial"/>
                <w:b/>
                <w:bCs/>
                <w:color w:val="FFFFFF" w:themeColor="background1"/>
                <w:sz w:val="18"/>
                <w:szCs w:val="18"/>
                <w:lang w:eastAsia="cs-CZ"/>
              </w:rPr>
              <w:t>Období</w:t>
            </w:r>
          </w:p>
        </w:tc>
        <w:tc>
          <w:tcPr>
            <w:tcW w:w="2151" w:type="dxa"/>
            <w:tcBorders>
              <w:top w:val="single" w:sz="4" w:space="0" w:color="auto"/>
              <w:left w:val="nil"/>
              <w:bottom w:val="single" w:sz="4" w:space="0" w:color="auto"/>
              <w:right w:val="single" w:sz="4" w:space="0" w:color="auto"/>
            </w:tcBorders>
            <w:shd w:val="clear" w:color="000000" w:fill="92D050"/>
            <w:vAlign w:val="center"/>
            <w:hideMark/>
          </w:tcPr>
          <w:p w:rsidR="00456F12" w:rsidRPr="00456F12" w:rsidRDefault="00456F12" w:rsidP="00456F12">
            <w:pPr>
              <w:spacing w:after="0" w:line="240" w:lineRule="auto"/>
              <w:jc w:val="center"/>
              <w:rPr>
                <w:rFonts w:ascii="Arial" w:eastAsia="Times New Roman" w:hAnsi="Arial" w:cs="Arial"/>
                <w:b/>
                <w:bCs/>
                <w:color w:val="FFFFFF"/>
                <w:sz w:val="18"/>
                <w:szCs w:val="18"/>
                <w:lang w:eastAsia="cs-CZ"/>
              </w:rPr>
            </w:pPr>
            <w:r w:rsidRPr="00456F12">
              <w:rPr>
                <w:rFonts w:ascii="Arial" w:eastAsia="Times New Roman" w:hAnsi="Arial" w:cs="Arial"/>
                <w:b/>
                <w:bCs/>
                <w:color w:val="FFFFFF" w:themeColor="background1"/>
                <w:sz w:val="18"/>
                <w:szCs w:val="18"/>
                <w:lang w:eastAsia="cs-CZ"/>
              </w:rPr>
              <w:t>Pojistné odvětví dle</w:t>
            </w:r>
            <w:r>
              <w:rPr>
                <w:rFonts w:ascii="Arial" w:eastAsia="Times New Roman" w:hAnsi="Arial" w:cs="Arial"/>
                <w:b/>
                <w:bCs/>
                <w:color w:val="FFFFFF" w:themeColor="background1"/>
                <w:sz w:val="18"/>
                <w:szCs w:val="18"/>
                <w:lang w:eastAsia="cs-CZ"/>
              </w:rPr>
              <w:t xml:space="preserve"> </w:t>
            </w:r>
            <w:r w:rsidRPr="00456F12">
              <w:rPr>
                <w:rFonts w:ascii="Arial" w:eastAsia="Times New Roman" w:hAnsi="Arial" w:cs="Arial"/>
                <w:b/>
                <w:bCs/>
                <w:color w:val="FFFFFF" w:themeColor="background1"/>
                <w:sz w:val="18"/>
                <w:szCs w:val="18"/>
                <w:lang w:eastAsia="cs-CZ"/>
              </w:rPr>
              <w:t>SII</w:t>
            </w:r>
          </w:p>
        </w:tc>
        <w:tc>
          <w:tcPr>
            <w:tcW w:w="2001" w:type="dxa"/>
            <w:tcBorders>
              <w:top w:val="single" w:sz="4" w:space="0" w:color="auto"/>
              <w:left w:val="nil"/>
              <w:bottom w:val="single" w:sz="4" w:space="0" w:color="auto"/>
              <w:right w:val="single" w:sz="4" w:space="0" w:color="auto"/>
            </w:tcBorders>
            <w:shd w:val="clear" w:color="000000" w:fill="92D050"/>
            <w:vAlign w:val="center"/>
            <w:hideMark/>
          </w:tcPr>
          <w:p w:rsidR="00456F12" w:rsidRPr="00456F12" w:rsidRDefault="00456F12" w:rsidP="00456F12">
            <w:pPr>
              <w:spacing w:after="0" w:line="240" w:lineRule="auto"/>
              <w:jc w:val="center"/>
              <w:rPr>
                <w:rFonts w:ascii="Arial" w:eastAsia="Times New Roman" w:hAnsi="Arial" w:cs="Arial"/>
                <w:b/>
                <w:bCs/>
                <w:color w:val="FFFFFF"/>
                <w:sz w:val="18"/>
                <w:szCs w:val="18"/>
                <w:lang w:eastAsia="cs-CZ"/>
              </w:rPr>
            </w:pPr>
            <w:r w:rsidRPr="00456F12">
              <w:rPr>
                <w:rFonts w:ascii="Arial" w:eastAsia="Times New Roman" w:hAnsi="Arial" w:cs="Arial"/>
                <w:b/>
                <w:bCs/>
                <w:color w:val="FFFFFF" w:themeColor="background1"/>
                <w:sz w:val="18"/>
                <w:szCs w:val="18"/>
                <w:lang w:eastAsia="cs-CZ"/>
              </w:rPr>
              <w:t>Předepsané pojistné</w:t>
            </w:r>
          </w:p>
        </w:tc>
        <w:tc>
          <w:tcPr>
            <w:tcW w:w="1961" w:type="dxa"/>
            <w:tcBorders>
              <w:top w:val="single" w:sz="4" w:space="0" w:color="auto"/>
              <w:left w:val="nil"/>
              <w:bottom w:val="single" w:sz="4" w:space="0" w:color="auto"/>
              <w:right w:val="single" w:sz="4" w:space="0" w:color="auto"/>
            </w:tcBorders>
            <w:shd w:val="clear" w:color="000000" w:fill="92D050"/>
            <w:vAlign w:val="center"/>
            <w:hideMark/>
          </w:tcPr>
          <w:p w:rsidR="00456F12" w:rsidRPr="00456F12" w:rsidRDefault="00456F12" w:rsidP="00456F12">
            <w:pPr>
              <w:spacing w:after="0" w:line="240" w:lineRule="auto"/>
              <w:jc w:val="center"/>
              <w:rPr>
                <w:rFonts w:ascii="Arial" w:eastAsia="Times New Roman" w:hAnsi="Arial" w:cs="Arial"/>
                <w:b/>
                <w:bCs/>
                <w:color w:val="FFFFFF"/>
                <w:sz w:val="18"/>
                <w:szCs w:val="18"/>
                <w:lang w:eastAsia="cs-CZ"/>
              </w:rPr>
            </w:pPr>
            <w:r w:rsidRPr="00456F12">
              <w:rPr>
                <w:rFonts w:ascii="Arial" w:eastAsia="Times New Roman" w:hAnsi="Arial" w:cs="Arial"/>
                <w:b/>
                <w:bCs/>
                <w:color w:val="FFFFFF" w:themeColor="background1"/>
                <w:sz w:val="18"/>
                <w:szCs w:val="18"/>
                <w:lang w:eastAsia="cs-CZ"/>
              </w:rPr>
              <w:t>Zasloužené pojistné</w:t>
            </w:r>
          </w:p>
        </w:tc>
      </w:tr>
      <w:tr w:rsidR="00456F12" w:rsidRPr="00456F12" w:rsidTr="00B3348D">
        <w:trPr>
          <w:trHeight w:val="300"/>
          <w:jc w:val="center"/>
        </w:trPr>
        <w:tc>
          <w:tcPr>
            <w:tcW w:w="1671" w:type="dxa"/>
            <w:vMerge w:val="restart"/>
            <w:tcBorders>
              <w:top w:val="nil"/>
              <w:left w:val="single" w:sz="4" w:space="0" w:color="auto"/>
              <w:bottom w:val="single" w:sz="4" w:space="0" w:color="auto"/>
              <w:right w:val="single" w:sz="4" w:space="0" w:color="auto"/>
            </w:tcBorders>
            <w:shd w:val="clear" w:color="auto" w:fill="auto"/>
            <w:vAlign w:val="center"/>
            <w:hideMark/>
          </w:tcPr>
          <w:p w:rsidR="00456F12" w:rsidRPr="00456F12" w:rsidRDefault="00B3348D" w:rsidP="00456F12">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Havarijní pojištění</w:t>
            </w:r>
          </w:p>
        </w:tc>
        <w:tc>
          <w:tcPr>
            <w:tcW w:w="960"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2016</w:t>
            </w:r>
          </w:p>
        </w:tc>
        <w:tc>
          <w:tcPr>
            <w:tcW w:w="215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p>
        </w:tc>
        <w:tc>
          <w:tcPr>
            <w:tcW w:w="200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1D72A3">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A67D70">
              <w:rPr>
                <w:rFonts w:ascii="Arial" w:eastAsia="Times New Roman" w:hAnsi="Arial" w:cs="Arial"/>
                <w:color w:val="000000"/>
                <w:sz w:val="18"/>
                <w:szCs w:val="18"/>
                <w:lang w:eastAsia="cs-CZ"/>
              </w:rPr>
              <w:t>20</w:t>
            </w:r>
            <w:r w:rsidR="001D72A3">
              <w:rPr>
                <w:rFonts w:ascii="Arial" w:eastAsia="Times New Roman" w:hAnsi="Arial" w:cs="Arial"/>
                <w:color w:val="000000"/>
                <w:sz w:val="18"/>
                <w:szCs w:val="18"/>
                <w:lang w:eastAsia="cs-CZ"/>
              </w:rPr>
              <w:t xml:space="preserve"> </w:t>
            </w:r>
            <w:r w:rsidR="00A67D70">
              <w:rPr>
                <w:rFonts w:ascii="Arial" w:eastAsia="Times New Roman" w:hAnsi="Arial" w:cs="Arial"/>
                <w:color w:val="000000"/>
                <w:sz w:val="18"/>
                <w:szCs w:val="18"/>
                <w:lang w:eastAsia="cs-CZ"/>
              </w:rPr>
              <w:t>057</w:t>
            </w:r>
          </w:p>
        </w:tc>
        <w:tc>
          <w:tcPr>
            <w:tcW w:w="1961" w:type="dxa"/>
            <w:tcBorders>
              <w:top w:val="nil"/>
              <w:left w:val="nil"/>
              <w:bottom w:val="single" w:sz="4" w:space="0" w:color="auto"/>
              <w:right w:val="single" w:sz="4" w:space="0" w:color="auto"/>
            </w:tcBorders>
            <w:shd w:val="clear" w:color="auto" w:fill="auto"/>
            <w:vAlign w:val="center"/>
            <w:hideMark/>
          </w:tcPr>
          <w:p w:rsidR="00456F12" w:rsidRPr="00456F12" w:rsidRDefault="00674C64" w:rsidP="001D72A3">
            <w:pPr>
              <w:spacing w:after="0" w:line="240" w:lineRule="auto"/>
              <w:jc w:val="right"/>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20 971</w:t>
            </w:r>
          </w:p>
        </w:tc>
      </w:tr>
      <w:tr w:rsidR="00456F12" w:rsidRPr="00456F12" w:rsidTr="00B3348D">
        <w:trPr>
          <w:trHeight w:val="300"/>
          <w:jc w:val="center"/>
        </w:trPr>
        <w:tc>
          <w:tcPr>
            <w:tcW w:w="1671" w:type="dxa"/>
            <w:vMerge/>
            <w:tcBorders>
              <w:top w:val="nil"/>
              <w:left w:val="single" w:sz="4" w:space="0" w:color="auto"/>
              <w:bottom w:val="single" w:sz="4" w:space="0" w:color="auto"/>
              <w:right w:val="single" w:sz="4" w:space="0" w:color="auto"/>
            </w:tcBorders>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p>
        </w:tc>
        <w:tc>
          <w:tcPr>
            <w:tcW w:w="960"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2015</w:t>
            </w:r>
          </w:p>
        </w:tc>
        <w:tc>
          <w:tcPr>
            <w:tcW w:w="215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p>
        </w:tc>
        <w:tc>
          <w:tcPr>
            <w:tcW w:w="200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1D72A3">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A67D70">
              <w:rPr>
                <w:rFonts w:ascii="Arial" w:eastAsia="Times New Roman" w:hAnsi="Arial" w:cs="Arial"/>
                <w:color w:val="000000"/>
                <w:sz w:val="18"/>
                <w:szCs w:val="18"/>
                <w:lang w:eastAsia="cs-CZ"/>
              </w:rPr>
              <w:t>25</w:t>
            </w:r>
            <w:r w:rsidR="001D72A3">
              <w:rPr>
                <w:rFonts w:ascii="Arial" w:eastAsia="Times New Roman" w:hAnsi="Arial" w:cs="Arial"/>
                <w:color w:val="000000"/>
                <w:sz w:val="18"/>
                <w:szCs w:val="18"/>
                <w:lang w:eastAsia="cs-CZ"/>
              </w:rPr>
              <w:t xml:space="preserve"> </w:t>
            </w:r>
            <w:r w:rsidR="00A67D70">
              <w:rPr>
                <w:rFonts w:ascii="Arial" w:eastAsia="Times New Roman" w:hAnsi="Arial" w:cs="Arial"/>
                <w:color w:val="000000"/>
                <w:sz w:val="18"/>
                <w:szCs w:val="18"/>
                <w:lang w:eastAsia="cs-CZ"/>
              </w:rPr>
              <w:t>217</w:t>
            </w:r>
          </w:p>
        </w:tc>
        <w:tc>
          <w:tcPr>
            <w:tcW w:w="196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1D72A3">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A67D70">
              <w:rPr>
                <w:rFonts w:ascii="Arial" w:eastAsia="Times New Roman" w:hAnsi="Arial" w:cs="Arial"/>
                <w:color w:val="000000"/>
                <w:sz w:val="18"/>
                <w:szCs w:val="18"/>
                <w:lang w:eastAsia="cs-CZ"/>
              </w:rPr>
              <w:t>28</w:t>
            </w:r>
            <w:r w:rsidR="001D72A3">
              <w:rPr>
                <w:rFonts w:ascii="Arial" w:eastAsia="Times New Roman" w:hAnsi="Arial" w:cs="Arial"/>
                <w:color w:val="000000"/>
                <w:sz w:val="18"/>
                <w:szCs w:val="18"/>
                <w:lang w:eastAsia="cs-CZ"/>
              </w:rPr>
              <w:t xml:space="preserve"> </w:t>
            </w:r>
            <w:r w:rsidR="00A67D70">
              <w:rPr>
                <w:rFonts w:ascii="Arial" w:eastAsia="Times New Roman" w:hAnsi="Arial" w:cs="Arial"/>
                <w:color w:val="000000"/>
                <w:sz w:val="18"/>
                <w:szCs w:val="18"/>
                <w:lang w:eastAsia="cs-CZ"/>
              </w:rPr>
              <w:t>241</w:t>
            </w:r>
          </w:p>
        </w:tc>
      </w:tr>
      <w:tr w:rsidR="00456F12" w:rsidRPr="00456F12" w:rsidTr="00B3348D">
        <w:trPr>
          <w:trHeight w:val="300"/>
          <w:jc w:val="center"/>
        </w:trPr>
        <w:tc>
          <w:tcPr>
            <w:tcW w:w="1671" w:type="dxa"/>
            <w:vMerge w:val="restart"/>
            <w:tcBorders>
              <w:top w:val="nil"/>
              <w:left w:val="single" w:sz="4" w:space="0" w:color="auto"/>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Ostatní</w:t>
            </w:r>
          </w:p>
        </w:tc>
        <w:tc>
          <w:tcPr>
            <w:tcW w:w="960"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2016</w:t>
            </w:r>
          </w:p>
        </w:tc>
        <w:tc>
          <w:tcPr>
            <w:tcW w:w="215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p>
        </w:tc>
        <w:tc>
          <w:tcPr>
            <w:tcW w:w="200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674C64">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674C64">
              <w:rPr>
                <w:rFonts w:ascii="Arial" w:eastAsia="Times New Roman" w:hAnsi="Arial" w:cs="Arial"/>
                <w:color w:val="000000"/>
                <w:sz w:val="18"/>
                <w:szCs w:val="18"/>
                <w:lang w:eastAsia="cs-CZ"/>
              </w:rPr>
              <w:t>0</w:t>
            </w:r>
          </w:p>
        </w:tc>
        <w:tc>
          <w:tcPr>
            <w:tcW w:w="196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674C64">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674C64">
              <w:rPr>
                <w:rFonts w:ascii="Arial" w:eastAsia="Times New Roman" w:hAnsi="Arial" w:cs="Arial"/>
                <w:color w:val="000000"/>
                <w:sz w:val="18"/>
                <w:szCs w:val="18"/>
                <w:lang w:eastAsia="cs-CZ"/>
              </w:rPr>
              <w:t>0</w:t>
            </w:r>
          </w:p>
        </w:tc>
      </w:tr>
      <w:tr w:rsidR="00456F12" w:rsidRPr="00456F12" w:rsidTr="00B3348D">
        <w:trPr>
          <w:trHeight w:val="300"/>
          <w:jc w:val="center"/>
        </w:trPr>
        <w:tc>
          <w:tcPr>
            <w:tcW w:w="1671" w:type="dxa"/>
            <w:vMerge/>
            <w:tcBorders>
              <w:top w:val="nil"/>
              <w:left w:val="single" w:sz="4" w:space="0" w:color="auto"/>
              <w:bottom w:val="single" w:sz="4" w:space="0" w:color="auto"/>
              <w:right w:val="single" w:sz="4" w:space="0" w:color="auto"/>
            </w:tcBorders>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p>
        </w:tc>
        <w:tc>
          <w:tcPr>
            <w:tcW w:w="960"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2015</w:t>
            </w:r>
          </w:p>
        </w:tc>
        <w:tc>
          <w:tcPr>
            <w:tcW w:w="215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456F12">
            <w:pPr>
              <w:spacing w:after="0" w:line="240" w:lineRule="auto"/>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p>
        </w:tc>
        <w:tc>
          <w:tcPr>
            <w:tcW w:w="200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674C64">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674C64">
              <w:rPr>
                <w:rFonts w:ascii="Arial" w:eastAsia="Times New Roman" w:hAnsi="Arial" w:cs="Arial"/>
                <w:color w:val="000000"/>
                <w:sz w:val="18"/>
                <w:szCs w:val="18"/>
                <w:lang w:eastAsia="cs-CZ"/>
              </w:rPr>
              <w:t>0</w:t>
            </w:r>
          </w:p>
        </w:tc>
        <w:tc>
          <w:tcPr>
            <w:tcW w:w="1961" w:type="dxa"/>
            <w:tcBorders>
              <w:top w:val="nil"/>
              <w:left w:val="nil"/>
              <w:bottom w:val="single" w:sz="4" w:space="0" w:color="auto"/>
              <w:right w:val="single" w:sz="4" w:space="0" w:color="auto"/>
            </w:tcBorders>
            <w:shd w:val="clear" w:color="auto" w:fill="auto"/>
            <w:vAlign w:val="center"/>
            <w:hideMark/>
          </w:tcPr>
          <w:p w:rsidR="00456F12" w:rsidRPr="00456F12" w:rsidRDefault="00456F12" w:rsidP="00674C64">
            <w:pPr>
              <w:spacing w:after="0" w:line="240" w:lineRule="auto"/>
              <w:jc w:val="right"/>
              <w:rPr>
                <w:rFonts w:ascii="Arial" w:eastAsia="Times New Roman" w:hAnsi="Arial" w:cs="Arial"/>
                <w:color w:val="000000"/>
                <w:sz w:val="18"/>
                <w:szCs w:val="18"/>
                <w:lang w:eastAsia="cs-CZ"/>
              </w:rPr>
            </w:pPr>
            <w:r w:rsidRPr="00456F12">
              <w:rPr>
                <w:rFonts w:ascii="Arial" w:eastAsia="Times New Roman" w:hAnsi="Arial" w:cs="Arial"/>
                <w:color w:val="000000"/>
                <w:sz w:val="18"/>
                <w:szCs w:val="18"/>
                <w:lang w:eastAsia="cs-CZ"/>
              </w:rPr>
              <w:t> </w:t>
            </w:r>
            <w:r w:rsidR="00674C64">
              <w:rPr>
                <w:rFonts w:ascii="Arial" w:eastAsia="Times New Roman" w:hAnsi="Arial" w:cs="Arial"/>
                <w:color w:val="000000"/>
                <w:sz w:val="18"/>
                <w:szCs w:val="18"/>
                <w:lang w:eastAsia="cs-CZ"/>
              </w:rPr>
              <w:t>0</w:t>
            </w:r>
          </w:p>
        </w:tc>
      </w:tr>
      <w:tr w:rsidR="00456F12" w:rsidRPr="00456F12" w:rsidTr="00B3348D">
        <w:trPr>
          <w:trHeight w:val="300"/>
          <w:jc w:val="center"/>
        </w:trPr>
        <w:tc>
          <w:tcPr>
            <w:tcW w:w="1671" w:type="dxa"/>
            <w:vMerge w:val="restart"/>
            <w:tcBorders>
              <w:top w:val="nil"/>
              <w:left w:val="single" w:sz="4" w:space="0" w:color="auto"/>
              <w:bottom w:val="single" w:sz="4" w:space="0" w:color="auto"/>
              <w:right w:val="single" w:sz="4" w:space="0" w:color="auto"/>
            </w:tcBorders>
            <w:shd w:val="clear" w:color="000000" w:fill="D9D9D9"/>
            <w:vAlign w:val="center"/>
            <w:hideMark/>
          </w:tcPr>
          <w:p w:rsidR="00456F12" w:rsidRPr="00456F12" w:rsidRDefault="00456F12" w:rsidP="00456F12">
            <w:pPr>
              <w:spacing w:after="0" w:line="240" w:lineRule="auto"/>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xml:space="preserve">Celkem </w:t>
            </w:r>
          </w:p>
        </w:tc>
        <w:tc>
          <w:tcPr>
            <w:tcW w:w="960" w:type="dxa"/>
            <w:tcBorders>
              <w:top w:val="nil"/>
              <w:left w:val="nil"/>
              <w:bottom w:val="single" w:sz="4" w:space="0" w:color="auto"/>
              <w:right w:val="single" w:sz="4" w:space="0" w:color="auto"/>
            </w:tcBorders>
            <w:shd w:val="clear" w:color="000000" w:fill="D9D9D9"/>
            <w:vAlign w:val="center"/>
            <w:hideMark/>
          </w:tcPr>
          <w:p w:rsidR="00456F12" w:rsidRPr="00456F12" w:rsidRDefault="00456F12" w:rsidP="00456F12">
            <w:pPr>
              <w:spacing w:after="0" w:line="240" w:lineRule="auto"/>
              <w:jc w:val="right"/>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2016</w:t>
            </w:r>
          </w:p>
        </w:tc>
        <w:tc>
          <w:tcPr>
            <w:tcW w:w="2151" w:type="dxa"/>
            <w:tcBorders>
              <w:top w:val="nil"/>
              <w:left w:val="nil"/>
              <w:bottom w:val="single" w:sz="4" w:space="0" w:color="auto"/>
              <w:right w:val="single" w:sz="4" w:space="0" w:color="auto"/>
            </w:tcBorders>
            <w:shd w:val="clear" w:color="000000" w:fill="D9D9D9"/>
            <w:vAlign w:val="center"/>
            <w:hideMark/>
          </w:tcPr>
          <w:p w:rsidR="00456F12" w:rsidRPr="00456F12" w:rsidRDefault="00456F12" w:rsidP="00456F12">
            <w:pPr>
              <w:spacing w:after="0" w:line="240" w:lineRule="auto"/>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w:t>
            </w:r>
          </w:p>
        </w:tc>
        <w:tc>
          <w:tcPr>
            <w:tcW w:w="2001" w:type="dxa"/>
            <w:tcBorders>
              <w:top w:val="nil"/>
              <w:left w:val="nil"/>
              <w:bottom w:val="single" w:sz="4" w:space="0" w:color="auto"/>
              <w:right w:val="single" w:sz="4" w:space="0" w:color="auto"/>
            </w:tcBorders>
            <w:shd w:val="clear" w:color="000000" w:fill="D9D9D9"/>
            <w:vAlign w:val="center"/>
            <w:hideMark/>
          </w:tcPr>
          <w:p w:rsidR="00456F12" w:rsidRPr="00456F12" w:rsidRDefault="00456F12" w:rsidP="00674C64">
            <w:pPr>
              <w:spacing w:after="0" w:line="240" w:lineRule="auto"/>
              <w:jc w:val="right"/>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w:t>
            </w:r>
            <w:r w:rsidR="00674C64">
              <w:rPr>
                <w:rFonts w:ascii="Arial" w:eastAsia="Times New Roman" w:hAnsi="Arial" w:cs="Arial"/>
                <w:b/>
                <w:bCs/>
                <w:color w:val="000000"/>
                <w:sz w:val="18"/>
                <w:szCs w:val="18"/>
                <w:lang w:eastAsia="cs-CZ"/>
              </w:rPr>
              <w:t>20 057</w:t>
            </w:r>
          </w:p>
        </w:tc>
        <w:tc>
          <w:tcPr>
            <w:tcW w:w="1961" w:type="dxa"/>
            <w:tcBorders>
              <w:top w:val="nil"/>
              <w:left w:val="nil"/>
              <w:bottom w:val="single" w:sz="4" w:space="0" w:color="auto"/>
              <w:right w:val="single" w:sz="4" w:space="0" w:color="auto"/>
            </w:tcBorders>
            <w:shd w:val="clear" w:color="000000" w:fill="D9D9D9"/>
            <w:vAlign w:val="center"/>
            <w:hideMark/>
          </w:tcPr>
          <w:p w:rsidR="00456F12" w:rsidRPr="00456F12" w:rsidRDefault="00456F12" w:rsidP="00674C64">
            <w:pPr>
              <w:spacing w:after="0" w:line="240" w:lineRule="auto"/>
              <w:jc w:val="right"/>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w:t>
            </w:r>
            <w:r w:rsidR="00674C64">
              <w:rPr>
                <w:rFonts w:ascii="Arial" w:eastAsia="Times New Roman" w:hAnsi="Arial" w:cs="Arial"/>
                <w:b/>
                <w:bCs/>
                <w:color w:val="000000"/>
                <w:sz w:val="18"/>
                <w:szCs w:val="18"/>
                <w:lang w:eastAsia="cs-CZ"/>
              </w:rPr>
              <w:t xml:space="preserve">20 971 </w:t>
            </w:r>
          </w:p>
        </w:tc>
      </w:tr>
      <w:tr w:rsidR="00456F12" w:rsidRPr="00456F12" w:rsidTr="00D60864">
        <w:trPr>
          <w:trHeight w:val="300"/>
          <w:jc w:val="center"/>
        </w:trPr>
        <w:tc>
          <w:tcPr>
            <w:tcW w:w="1671" w:type="dxa"/>
            <w:vMerge/>
            <w:tcBorders>
              <w:top w:val="nil"/>
              <w:left w:val="single" w:sz="4" w:space="0" w:color="auto"/>
              <w:bottom w:val="nil"/>
              <w:right w:val="single" w:sz="4" w:space="0" w:color="auto"/>
            </w:tcBorders>
            <w:vAlign w:val="center"/>
            <w:hideMark/>
          </w:tcPr>
          <w:p w:rsidR="00456F12" w:rsidRPr="00456F12" w:rsidRDefault="00456F12" w:rsidP="00456F12">
            <w:pPr>
              <w:spacing w:after="0" w:line="240" w:lineRule="auto"/>
              <w:rPr>
                <w:rFonts w:ascii="Arial" w:eastAsia="Times New Roman" w:hAnsi="Arial" w:cs="Arial"/>
                <w:b/>
                <w:bCs/>
                <w:color w:val="000000"/>
                <w:sz w:val="18"/>
                <w:szCs w:val="18"/>
                <w:lang w:eastAsia="cs-CZ"/>
              </w:rPr>
            </w:pPr>
          </w:p>
        </w:tc>
        <w:tc>
          <w:tcPr>
            <w:tcW w:w="960" w:type="dxa"/>
            <w:tcBorders>
              <w:top w:val="nil"/>
              <w:left w:val="nil"/>
              <w:bottom w:val="nil"/>
              <w:right w:val="single" w:sz="4" w:space="0" w:color="auto"/>
            </w:tcBorders>
            <w:shd w:val="clear" w:color="000000" w:fill="D9D9D9"/>
            <w:vAlign w:val="center"/>
            <w:hideMark/>
          </w:tcPr>
          <w:p w:rsidR="00456F12" w:rsidRPr="00456F12" w:rsidRDefault="00456F12" w:rsidP="00456F12">
            <w:pPr>
              <w:spacing w:after="0" w:line="240" w:lineRule="auto"/>
              <w:jc w:val="right"/>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2015</w:t>
            </w:r>
          </w:p>
        </w:tc>
        <w:tc>
          <w:tcPr>
            <w:tcW w:w="2151" w:type="dxa"/>
            <w:tcBorders>
              <w:top w:val="nil"/>
              <w:left w:val="nil"/>
              <w:bottom w:val="nil"/>
              <w:right w:val="single" w:sz="4" w:space="0" w:color="auto"/>
            </w:tcBorders>
            <w:shd w:val="clear" w:color="000000" w:fill="D9D9D9"/>
            <w:vAlign w:val="center"/>
            <w:hideMark/>
          </w:tcPr>
          <w:p w:rsidR="00456F12" w:rsidRPr="00456F12" w:rsidRDefault="00456F12" w:rsidP="00456F12">
            <w:pPr>
              <w:spacing w:after="0" w:line="240" w:lineRule="auto"/>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w:t>
            </w:r>
          </w:p>
        </w:tc>
        <w:tc>
          <w:tcPr>
            <w:tcW w:w="2001" w:type="dxa"/>
            <w:tcBorders>
              <w:top w:val="nil"/>
              <w:left w:val="nil"/>
              <w:bottom w:val="nil"/>
              <w:right w:val="single" w:sz="4" w:space="0" w:color="auto"/>
            </w:tcBorders>
            <w:shd w:val="clear" w:color="000000" w:fill="D9D9D9"/>
            <w:vAlign w:val="center"/>
            <w:hideMark/>
          </w:tcPr>
          <w:p w:rsidR="00456F12" w:rsidRPr="00456F12" w:rsidRDefault="00456F12" w:rsidP="00674C64">
            <w:pPr>
              <w:spacing w:after="0" w:line="240" w:lineRule="auto"/>
              <w:jc w:val="right"/>
              <w:rPr>
                <w:rFonts w:ascii="Arial" w:eastAsia="Times New Roman" w:hAnsi="Arial" w:cs="Arial"/>
                <w:b/>
                <w:bCs/>
                <w:color w:val="000000"/>
                <w:sz w:val="18"/>
                <w:szCs w:val="18"/>
                <w:lang w:eastAsia="cs-CZ"/>
              </w:rPr>
            </w:pPr>
            <w:r w:rsidRPr="00456F12">
              <w:rPr>
                <w:rFonts w:ascii="Arial" w:eastAsia="Times New Roman" w:hAnsi="Arial" w:cs="Arial"/>
                <w:b/>
                <w:bCs/>
                <w:color w:val="000000"/>
                <w:sz w:val="18"/>
                <w:szCs w:val="18"/>
                <w:lang w:eastAsia="cs-CZ"/>
              </w:rPr>
              <w:t> </w:t>
            </w:r>
            <w:r w:rsidR="00674C64">
              <w:rPr>
                <w:rFonts w:ascii="Arial" w:eastAsia="Times New Roman" w:hAnsi="Arial" w:cs="Arial"/>
                <w:b/>
                <w:bCs/>
                <w:color w:val="000000"/>
                <w:sz w:val="18"/>
                <w:szCs w:val="18"/>
                <w:lang w:eastAsia="cs-CZ"/>
              </w:rPr>
              <w:t>25 217</w:t>
            </w:r>
          </w:p>
        </w:tc>
        <w:tc>
          <w:tcPr>
            <w:tcW w:w="1961" w:type="dxa"/>
            <w:tcBorders>
              <w:top w:val="nil"/>
              <w:left w:val="nil"/>
              <w:bottom w:val="nil"/>
              <w:right w:val="single" w:sz="4" w:space="0" w:color="auto"/>
            </w:tcBorders>
            <w:shd w:val="clear" w:color="000000" w:fill="D9D9D9"/>
            <w:vAlign w:val="center"/>
            <w:hideMark/>
          </w:tcPr>
          <w:p w:rsidR="00456F12" w:rsidRPr="00456F12" w:rsidRDefault="00674C64" w:rsidP="00674C64">
            <w:pPr>
              <w:spacing w:after="0" w:line="240" w:lineRule="auto"/>
              <w:jc w:val="right"/>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28 214</w:t>
            </w:r>
          </w:p>
        </w:tc>
      </w:tr>
      <w:tr w:rsidR="00D60864" w:rsidRPr="00456F12" w:rsidTr="00B3348D">
        <w:trPr>
          <w:trHeight w:val="300"/>
          <w:jc w:val="center"/>
        </w:trPr>
        <w:tc>
          <w:tcPr>
            <w:tcW w:w="1671" w:type="dxa"/>
            <w:tcBorders>
              <w:top w:val="nil"/>
              <w:left w:val="single" w:sz="4" w:space="0" w:color="auto"/>
              <w:bottom w:val="single" w:sz="4" w:space="0" w:color="auto"/>
              <w:right w:val="single" w:sz="4" w:space="0" w:color="auto"/>
            </w:tcBorders>
            <w:vAlign w:val="center"/>
          </w:tcPr>
          <w:p w:rsidR="00D60864" w:rsidRPr="00456F12" w:rsidRDefault="00D60864" w:rsidP="00D60864">
            <w:pPr>
              <w:spacing w:after="0" w:line="240" w:lineRule="auto"/>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 xml:space="preserve">Plán </w:t>
            </w:r>
          </w:p>
        </w:tc>
        <w:tc>
          <w:tcPr>
            <w:tcW w:w="960" w:type="dxa"/>
            <w:tcBorders>
              <w:top w:val="nil"/>
              <w:left w:val="nil"/>
              <w:bottom w:val="single" w:sz="4" w:space="0" w:color="auto"/>
              <w:right w:val="single" w:sz="4" w:space="0" w:color="auto"/>
            </w:tcBorders>
            <w:shd w:val="clear" w:color="000000" w:fill="D9D9D9"/>
            <w:vAlign w:val="center"/>
          </w:tcPr>
          <w:p w:rsidR="00D60864" w:rsidRPr="00456F12" w:rsidRDefault="00D60864" w:rsidP="00456F12">
            <w:pPr>
              <w:spacing w:after="0" w:line="240" w:lineRule="auto"/>
              <w:jc w:val="right"/>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2017</w:t>
            </w:r>
          </w:p>
        </w:tc>
        <w:tc>
          <w:tcPr>
            <w:tcW w:w="2151" w:type="dxa"/>
            <w:tcBorders>
              <w:top w:val="nil"/>
              <w:left w:val="nil"/>
              <w:bottom w:val="single" w:sz="4" w:space="0" w:color="auto"/>
              <w:right w:val="single" w:sz="4" w:space="0" w:color="auto"/>
            </w:tcBorders>
            <w:shd w:val="clear" w:color="000000" w:fill="D9D9D9"/>
            <w:vAlign w:val="center"/>
          </w:tcPr>
          <w:p w:rsidR="00D60864" w:rsidRPr="00456F12" w:rsidRDefault="00D60864" w:rsidP="00456F12">
            <w:pPr>
              <w:spacing w:after="0" w:line="240" w:lineRule="auto"/>
              <w:rPr>
                <w:rFonts w:ascii="Arial" w:eastAsia="Times New Roman" w:hAnsi="Arial" w:cs="Arial"/>
                <w:b/>
                <w:bCs/>
                <w:color w:val="000000"/>
                <w:sz w:val="18"/>
                <w:szCs w:val="18"/>
                <w:lang w:eastAsia="cs-CZ"/>
              </w:rPr>
            </w:pPr>
          </w:p>
        </w:tc>
        <w:tc>
          <w:tcPr>
            <w:tcW w:w="2001" w:type="dxa"/>
            <w:tcBorders>
              <w:top w:val="nil"/>
              <w:left w:val="nil"/>
              <w:bottom w:val="single" w:sz="4" w:space="0" w:color="auto"/>
              <w:right w:val="single" w:sz="4" w:space="0" w:color="auto"/>
            </w:tcBorders>
            <w:shd w:val="clear" w:color="000000" w:fill="D9D9D9"/>
            <w:vAlign w:val="center"/>
          </w:tcPr>
          <w:p w:rsidR="00D60864" w:rsidRPr="00456F12" w:rsidRDefault="00D60864" w:rsidP="00674C64">
            <w:pPr>
              <w:spacing w:after="0" w:line="240" w:lineRule="auto"/>
              <w:jc w:val="right"/>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21 000</w:t>
            </w:r>
          </w:p>
        </w:tc>
        <w:tc>
          <w:tcPr>
            <w:tcW w:w="1961" w:type="dxa"/>
            <w:tcBorders>
              <w:top w:val="nil"/>
              <w:left w:val="nil"/>
              <w:bottom w:val="single" w:sz="4" w:space="0" w:color="auto"/>
              <w:right w:val="single" w:sz="4" w:space="0" w:color="auto"/>
            </w:tcBorders>
            <w:shd w:val="clear" w:color="000000" w:fill="D9D9D9"/>
            <w:vAlign w:val="center"/>
          </w:tcPr>
          <w:p w:rsidR="00D60864" w:rsidRPr="00456F12" w:rsidRDefault="00674C64" w:rsidP="00674C64">
            <w:pPr>
              <w:spacing w:after="0" w:line="240" w:lineRule="auto"/>
              <w:jc w:val="right"/>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21850</w:t>
            </w:r>
          </w:p>
        </w:tc>
      </w:tr>
    </w:tbl>
    <w:p w:rsidR="00674C64" w:rsidRDefault="00674C64" w:rsidP="00792C7D">
      <w:pPr>
        <w:rPr>
          <w:rFonts w:ascii="Times New Roman" w:hAnsi="Times New Roman" w:cs="Times New Roman"/>
          <w:sz w:val="24"/>
          <w:szCs w:val="24"/>
        </w:rPr>
      </w:pPr>
    </w:p>
    <w:p w:rsidR="001D72A3" w:rsidRPr="001D72A3" w:rsidRDefault="001D72A3" w:rsidP="00792C7D">
      <w:pPr>
        <w:rPr>
          <w:rFonts w:ascii="Times New Roman" w:hAnsi="Times New Roman" w:cs="Times New Roman"/>
          <w:sz w:val="24"/>
          <w:szCs w:val="24"/>
        </w:rPr>
      </w:pPr>
      <w:r w:rsidRPr="001D72A3">
        <w:rPr>
          <w:rFonts w:ascii="Times New Roman" w:hAnsi="Times New Roman" w:cs="Times New Roman"/>
          <w:sz w:val="24"/>
          <w:szCs w:val="24"/>
        </w:rPr>
        <w:t>Obchodní plán</w:t>
      </w:r>
      <w:r>
        <w:rPr>
          <w:rFonts w:ascii="Times New Roman" w:hAnsi="Times New Roman" w:cs="Times New Roman"/>
          <w:sz w:val="24"/>
          <w:szCs w:val="24"/>
        </w:rPr>
        <w:t xml:space="preserve"> </w:t>
      </w:r>
      <w:r w:rsidR="00020ACD">
        <w:rPr>
          <w:rFonts w:ascii="Times New Roman" w:hAnsi="Times New Roman" w:cs="Times New Roman"/>
          <w:sz w:val="24"/>
          <w:szCs w:val="24"/>
        </w:rPr>
        <w:t xml:space="preserve"> na příští období je stanoven jako stabilizační s postupným  růstem v onjemu předepsaného pojistného. Zacílení na nová vozidla a kvalitativní selekce u ojetých vozidel zajistí stabilizaci a kvalitu pojistného kmene. </w:t>
      </w:r>
    </w:p>
    <w:p w:rsidR="00792C7D" w:rsidRDefault="00792C7D" w:rsidP="00792C7D">
      <w:pPr>
        <w:rPr>
          <w:rFonts w:ascii="Times New Roman" w:hAnsi="Times New Roman" w:cs="Times New Roman"/>
          <w:sz w:val="24"/>
          <w:szCs w:val="24"/>
        </w:rPr>
      </w:pPr>
      <w:r w:rsidRPr="00792C7D">
        <w:rPr>
          <w:rFonts w:ascii="Times New Roman" w:hAnsi="Times New Roman" w:cs="Times New Roman"/>
          <w:sz w:val="24"/>
          <w:szCs w:val="24"/>
        </w:rPr>
        <w:t>Ke</w:t>
      </w:r>
      <w:r>
        <w:rPr>
          <w:rFonts w:ascii="Times New Roman" w:hAnsi="Times New Roman" w:cs="Times New Roman"/>
          <w:sz w:val="24"/>
          <w:szCs w:val="24"/>
        </w:rPr>
        <w:t xml:space="preserve"> snižování pojistně-technického rizika pojišťovna používá zajištění. V roce 2016 bylo sjednáno neproporční RISK XL a CAT XL zajištění havarijního pojištění motorových vozidel. V roce 2016 nenastala žádná pojistná událost</w:t>
      </w:r>
      <w:r w:rsidR="00C0462D">
        <w:rPr>
          <w:rFonts w:ascii="Times New Roman" w:hAnsi="Times New Roman" w:cs="Times New Roman"/>
          <w:sz w:val="24"/>
          <w:szCs w:val="24"/>
        </w:rPr>
        <w:t>, výsledek zajištění byl tedy negativní ve výši zaplaceného zajistného.</w:t>
      </w:r>
      <w:r>
        <w:rPr>
          <w:rFonts w:ascii="Times New Roman" w:hAnsi="Times New Roman" w:cs="Times New Roman"/>
          <w:sz w:val="24"/>
          <w:szCs w:val="24"/>
        </w:rPr>
        <w:t xml:space="preserve"> </w:t>
      </w:r>
    </w:p>
    <w:p w:rsidR="001A1A61" w:rsidRDefault="001A1A61" w:rsidP="001A1A61">
      <w:pPr>
        <w:rPr>
          <w:rFonts w:ascii="Times New Roman" w:hAnsi="Times New Roman" w:cs="Times New Roman"/>
          <w:b/>
          <w:sz w:val="24"/>
          <w:szCs w:val="24"/>
        </w:rPr>
      </w:pPr>
      <w:r w:rsidRPr="005A2945">
        <w:rPr>
          <w:rFonts w:ascii="Times New Roman" w:hAnsi="Times New Roman" w:cs="Times New Roman"/>
          <w:b/>
          <w:sz w:val="24"/>
          <w:szCs w:val="24"/>
        </w:rPr>
        <w:t>Dopad a účinnost technik snižování rizika</w:t>
      </w:r>
    </w:p>
    <w:p w:rsidR="001A1A61" w:rsidRDefault="001A1A61" w:rsidP="001A1A61">
      <w:pPr>
        <w:rPr>
          <w:rFonts w:ascii="Times New Roman" w:hAnsi="Times New Roman" w:cs="Times New Roman"/>
          <w:sz w:val="24"/>
          <w:szCs w:val="24"/>
        </w:rPr>
      </w:pPr>
      <w:r w:rsidRPr="005A2945">
        <w:rPr>
          <w:rFonts w:ascii="Times New Roman" w:hAnsi="Times New Roman" w:cs="Times New Roman"/>
          <w:sz w:val="24"/>
          <w:szCs w:val="24"/>
        </w:rPr>
        <w:t xml:space="preserve">Sjednání zajištění </w:t>
      </w:r>
      <w:r w:rsidR="00DA0B48">
        <w:rPr>
          <w:rFonts w:ascii="Times New Roman" w:hAnsi="Times New Roman" w:cs="Times New Roman"/>
          <w:sz w:val="24"/>
          <w:szCs w:val="24"/>
        </w:rPr>
        <w:t>mírně snižuje (o 16</w:t>
      </w:r>
      <w:r w:rsidR="00DA0B48" w:rsidRPr="00DA0B48">
        <w:rPr>
          <w:rFonts w:ascii="Times New Roman" w:hAnsi="Times New Roman" w:cs="Times New Roman"/>
          <w:sz w:val="24"/>
          <w:szCs w:val="24"/>
        </w:rPr>
        <w:t>%</w:t>
      </w:r>
      <w:r w:rsidR="00DA0B48">
        <w:rPr>
          <w:rFonts w:ascii="Times New Roman" w:hAnsi="Times New Roman" w:cs="Times New Roman"/>
          <w:sz w:val="24"/>
          <w:szCs w:val="24"/>
        </w:rPr>
        <w:t>)</w:t>
      </w:r>
      <w:r w:rsidRPr="005A2945">
        <w:rPr>
          <w:rFonts w:ascii="Times New Roman" w:hAnsi="Times New Roman" w:cs="Times New Roman"/>
          <w:sz w:val="24"/>
          <w:szCs w:val="24"/>
        </w:rPr>
        <w:t xml:space="preserve"> SCR upisovacího rizika společnosti</w:t>
      </w:r>
      <w:r w:rsidR="00DA0B48">
        <w:rPr>
          <w:rFonts w:ascii="Times New Roman" w:hAnsi="Times New Roman" w:cs="Times New Roman"/>
          <w:sz w:val="24"/>
          <w:szCs w:val="24"/>
        </w:rPr>
        <w:t xml:space="preserve"> a to téměř výhradně v katastrofickém riziku povodní. Vzhledem k nepatrnému objemu cedovaného pojistného (pouze XL smlouva) a aktuálně nevýznamnému podílu zajistitele na technických rezervách má sjednané zajištění v ostatních submodulech upisovacího rizika pouze nevýznamný vliv.</w:t>
      </w:r>
    </w:p>
    <w:tbl>
      <w:tblPr>
        <w:tblW w:w="9087" w:type="dxa"/>
        <w:tblInd w:w="55" w:type="dxa"/>
        <w:tblCellMar>
          <w:left w:w="70" w:type="dxa"/>
          <w:right w:w="70" w:type="dxa"/>
        </w:tblCellMar>
        <w:tblLook w:val="04A0" w:firstRow="1" w:lastRow="0" w:firstColumn="1" w:lastColumn="0" w:noHBand="0" w:noVBand="1"/>
      </w:tblPr>
      <w:tblGrid>
        <w:gridCol w:w="2425"/>
        <w:gridCol w:w="1985"/>
        <w:gridCol w:w="1984"/>
        <w:gridCol w:w="2693"/>
      </w:tblGrid>
      <w:tr w:rsidR="00DA0B48" w:rsidRPr="001A1A61" w:rsidTr="00DA0B48">
        <w:trPr>
          <w:trHeight w:val="495"/>
        </w:trPr>
        <w:tc>
          <w:tcPr>
            <w:tcW w:w="2425"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1A1A61" w:rsidRPr="001A1A61" w:rsidRDefault="001A1A61" w:rsidP="001A1A61">
            <w:pPr>
              <w:spacing w:after="0" w:line="240" w:lineRule="auto"/>
              <w:jc w:val="center"/>
              <w:rPr>
                <w:rFonts w:ascii="Arial" w:eastAsia="Times New Roman" w:hAnsi="Arial" w:cs="Arial"/>
                <w:b/>
                <w:bCs/>
                <w:color w:val="FFFFFF"/>
                <w:sz w:val="18"/>
                <w:szCs w:val="18"/>
                <w:lang w:eastAsia="cs-CZ"/>
              </w:rPr>
            </w:pPr>
            <w:r w:rsidRPr="001A1A61">
              <w:rPr>
                <w:rFonts w:ascii="Arial" w:eastAsia="Times New Roman" w:hAnsi="Arial" w:cs="Arial"/>
                <w:b/>
                <w:bCs/>
                <w:color w:val="FFFFFF"/>
                <w:sz w:val="18"/>
                <w:szCs w:val="18"/>
                <w:lang w:eastAsia="cs-CZ"/>
              </w:rPr>
              <w:t>Solventní kapitálový požadavek</w:t>
            </w:r>
          </w:p>
        </w:tc>
        <w:tc>
          <w:tcPr>
            <w:tcW w:w="1985" w:type="dxa"/>
            <w:tcBorders>
              <w:top w:val="single" w:sz="8" w:space="0" w:color="auto"/>
              <w:left w:val="nil"/>
              <w:bottom w:val="single" w:sz="8" w:space="0" w:color="auto"/>
              <w:right w:val="single" w:sz="8" w:space="0" w:color="auto"/>
            </w:tcBorders>
            <w:shd w:val="clear" w:color="000000" w:fill="92D050"/>
            <w:vAlign w:val="center"/>
            <w:hideMark/>
          </w:tcPr>
          <w:p w:rsidR="001A1A61" w:rsidRPr="001A1A61" w:rsidRDefault="001A1A61" w:rsidP="001A1A61">
            <w:pPr>
              <w:spacing w:after="0" w:line="240" w:lineRule="auto"/>
              <w:jc w:val="center"/>
              <w:rPr>
                <w:rFonts w:ascii="Arial" w:eastAsia="Times New Roman" w:hAnsi="Arial" w:cs="Arial"/>
                <w:b/>
                <w:bCs/>
                <w:color w:val="FFFFFF"/>
                <w:sz w:val="18"/>
                <w:szCs w:val="18"/>
                <w:lang w:eastAsia="cs-CZ"/>
              </w:rPr>
            </w:pPr>
            <w:r w:rsidRPr="001A1A61">
              <w:rPr>
                <w:rFonts w:ascii="Arial" w:eastAsia="Times New Roman" w:hAnsi="Arial" w:cs="Arial"/>
                <w:b/>
                <w:bCs/>
                <w:color w:val="FFFFFF"/>
                <w:sz w:val="18"/>
                <w:szCs w:val="18"/>
                <w:lang w:eastAsia="cs-CZ"/>
              </w:rPr>
              <w:t>SCR čisté vzhledem k zajištění</w:t>
            </w:r>
          </w:p>
        </w:tc>
        <w:tc>
          <w:tcPr>
            <w:tcW w:w="1984" w:type="dxa"/>
            <w:tcBorders>
              <w:top w:val="single" w:sz="8" w:space="0" w:color="auto"/>
              <w:left w:val="nil"/>
              <w:bottom w:val="single" w:sz="8" w:space="0" w:color="auto"/>
              <w:right w:val="single" w:sz="8" w:space="0" w:color="auto"/>
            </w:tcBorders>
            <w:shd w:val="clear" w:color="000000" w:fill="92D050"/>
            <w:vAlign w:val="center"/>
            <w:hideMark/>
          </w:tcPr>
          <w:p w:rsidR="001A1A61" w:rsidRPr="001A1A61" w:rsidRDefault="001A1A61" w:rsidP="001A1A61">
            <w:pPr>
              <w:spacing w:after="0" w:line="240" w:lineRule="auto"/>
              <w:jc w:val="center"/>
              <w:rPr>
                <w:rFonts w:ascii="Arial" w:eastAsia="Times New Roman" w:hAnsi="Arial" w:cs="Arial"/>
                <w:b/>
                <w:bCs/>
                <w:color w:val="FFFFFF"/>
                <w:sz w:val="18"/>
                <w:szCs w:val="18"/>
                <w:lang w:eastAsia="cs-CZ"/>
              </w:rPr>
            </w:pPr>
            <w:r w:rsidRPr="001A1A61">
              <w:rPr>
                <w:rFonts w:ascii="Arial" w:eastAsia="Times New Roman" w:hAnsi="Arial" w:cs="Arial"/>
                <w:b/>
                <w:bCs/>
                <w:color w:val="FFFFFF"/>
                <w:sz w:val="18"/>
                <w:szCs w:val="18"/>
                <w:lang w:eastAsia="cs-CZ"/>
              </w:rPr>
              <w:t>SCR hrubé vzhledem k zajištění</w:t>
            </w:r>
          </w:p>
        </w:tc>
        <w:tc>
          <w:tcPr>
            <w:tcW w:w="2693" w:type="dxa"/>
            <w:tcBorders>
              <w:top w:val="single" w:sz="8" w:space="0" w:color="auto"/>
              <w:left w:val="nil"/>
              <w:bottom w:val="single" w:sz="8" w:space="0" w:color="auto"/>
              <w:right w:val="single" w:sz="8" w:space="0" w:color="auto"/>
            </w:tcBorders>
            <w:shd w:val="clear" w:color="000000" w:fill="92D050"/>
            <w:vAlign w:val="center"/>
            <w:hideMark/>
          </w:tcPr>
          <w:p w:rsidR="001A1A61" w:rsidRPr="001A1A61" w:rsidRDefault="001A1A61" w:rsidP="001A1A61">
            <w:pPr>
              <w:spacing w:after="0" w:line="240" w:lineRule="auto"/>
              <w:jc w:val="center"/>
              <w:rPr>
                <w:rFonts w:ascii="Arial" w:eastAsia="Times New Roman" w:hAnsi="Arial" w:cs="Arial"/>
                <w:b/>
                <w:bCs/>
                <w:color w:val="FFFFFF"/>
                <w:sz w:val="18"/>
                <w:szCs w:val="18"/>
                <w:lang w:eastAsia="cs-CZ"/>
              </w:rPr>
            </w:pPr>
            <w:r w:rsidRPr="001A1A61">
              <w:rPr>
                <w:rFonts w:ascii="Arial" w:eastAsia="Times New Roman" w:hAnsi="Arial" w:cs="Arial"/>
                <w:b/>
                <w:bCs/>
                <w:color w:val="FFFFFF"/>
                <w:sz w:val="18"/>
                <w:szCs w:val="18"/>
                <w:lang w:eastAsia="cs-CZ"/>
              </w:rPr>
              <w:t>Komentář</w:t>
            </w:r>
          </w:p>
        </w:tc>
      </w:tr>
      <w:tr w:rsidR="001A1A61" w:rsidRPr="001A1A61" w:rsidTr="00DA0B48">
        <w:trPr>
          <w:trHeight w:val="495"/>
        </w:trPr>
        <w:tc>
          <w:tcPr>
            <w:tcW w:w="2425" w:type="dxa"/>
            <w:tcBorders>
              <w:top w:val="nil"/>
              <w:left w:val="single" w:sz="8" w:space="0" w:color="auto"/>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Riziko pojistného a rezerv</w:t>
            </w:r>
          </w:p>
        </w:tc>
        <w:tc>
          <w:tcPr>
            <w:tcW w:w="1985"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5 439</w:t>
            </w:r>
          </w:p>
        </w:tc>
        <w:tc>
          <w:tcPr>
            <w:tcW w:w="1984"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5 578</w:t>
            </w:r>
          </w:p>
        </w:tc>
        <w:tc>
          <w:tcPr>
            <w:tcW w:w="2693"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Snížení rizika není vzhledem k malému objemu TR významné</w:t>
            </w:r>
          </w:p>
        </w:tc>
      </w:tr>
      <w:tr w:rsidR="001A1A61" w:rsidRPr="001A1A61" w:rsidTr="00DA0B48">
        <w:trPr>
          <w:trHeight w:val="315"/>
        </w:trPr>
        <w:tc>
          <w:tcPr>
            <w:tcW w:w="2425" w:type="dxa"/>
            <w:tcBorders>
              <w:top w:val="nil"/>
              <w:left w:val="single" w:sz="8" w:space="0" w:color="auto"/>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Katastrofické riziko</w:t>
            </w:r>
          </w:p>
        </w:tc>
        <w:tc>
          <w:tcPr>
            <w:tcW w:w="1985"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6 663</w:t>
            </w:r>
          </w:p>
        </w:tc>
        <w:tc>
          <w:tcPr>
            <w:tcW w:w="1984"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8 803</w:t>
            </w:r>
          </w:p>
        </w:tc>
        <w:tc>
          <w:tcPr>
            <w:tcW w:w="2693"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Téměř výhradně riziko povodně</w:t>
            </w:r>
          </w:p>
        </w:tc>
      </w:tr>
      <w:tr w:rsidR="001A1A61" w:rsidRPr="001A1A61" w:rsidTr="00DA0B48">
        <w:trPr>
          <w:trHeight w:val="315"/>
        </w:trPr>
        <w:tc>
          <w:tcPr>
            <w:tcW w:w="2425" w:type="dxa"/>
            <w:tcBorders>
              <w:top w:val="nil"/>
              <w:left w:val="single" w:sz="8" w:space="0" w:color="auto"/>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Riziko storen</w:t>
            </w:r>
          </w:p>
        </w:tc>
        <w:tc>
          <w:tcPr>
            <w:tcW w:w="1985"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39</w:t>
            </w:r>
          </w:p>
        </w:tc>
        <w:tc>
          <w:tcPr>
            <w:tcW w:w="1984"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41</w:t>
            </w:r>
          </w:p>
        </w:tc>
        <w:tc>
          <w:tcPr>
            <w:tcW w:w="2693"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Nevýznamné</w:t>
            </w:r>
          </w:p>
        </w:tc>
      </w:tr>
      <w:tr w:rsidR="001A1A61" w:rsidRPr="001A1A61" w:rsidTr="00DA0B48">
        <w:trPr>
          <w:trHeight w:val="315"/>
        </w:trPr>
        <w:tc>
          <w:tcPr>
            <w:tcW w:w="2425" w:type="dxa"/>
            <w:tcBorders>
              <w:top w:val="nil"/>
              <w:left w:val="single" w:sz="8" w:space="0" w:color="auto"/>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Diverzifikační efekt</w:t>
            </w:r>
          </w:p>
        </w:tc>
        <w:tc>
          <w:tcPr>
            <w:tcW w:w="1985"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-2 544</w:t>
            </w:r>
          </w:p>
        </w:tc>
        <w:tc>
          <w:tcPr>
            <w:tcW w:w="1984"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jc w:val="right"/>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-2 882</w:t>
            </w:r>
          </w:p>
        </w:tc>
        <w:tc>
          <w:tcPr>
            <w:tcW w:w="2693" w:type="dxa"/>
            <w:tcBorders>
              <w:top w:val="nil"/>
              <w:left w:val="nil"/>
              <w:bottom w:val="single" w:sz="8" w:space="0" w:color="auto"/>
              <w:right w:val="single" w:sz="8" w:space="0" w:color="auto"/>
            </w:tcBorders>
            <w:shd w:val="clear" w:color="auto" w:fill="auto"/>
            <w:vAlign w:val="center"/>
            <w:hideMark/>
          </w:tcPr>
          <w:p w:rsidR="001A1A61" w:rsidRPr="001A1A61" w:rsidRDefault="001A1A61" w:rsidP="001A1A61">
            <w:pPr>
              <w:spacing w:after="0" w:line="240" w:lineRule="auto"/>
              <w:rPr>
                <w:rFonts w:ascii="Arial" w:eastAsia="Times New Roman" w:hAnsi="Arial" w:cs="Arial"/>
                <w:color w:val="000000"/>
                <w:sz w:val="18"/>
                <w:szCs w:val="18"/>
                <w:lang w:eastAsia="cs-CZ"/>
              </w:rPr>
            </w:pPr>
            <w:r w:rsidRPr="001A1A61">
              <w:rPr>
                <w:rFonts w:ascii="Arial" w:eastAsia="Times New Roman" w:hAnsi="Arial" w:cs="Arial"/>
                <w:color w:val="000000"/>
                <w:sz w:val="18"/>
                <w:szCs w:val="18"/>
                <w:lang w:eastAsia="cs-CZ"/>
              </w:rPr>
              <w:t> </w:t>
            </w:r>
          </w:p>
        </w:tc>
      </w:tr>
      <w:tr w:rsidR="00DA0B48" w:rsidRPr="001A1A61" w:rsidTr="00DA0B48">
        <w:trPr>
          <w:trHeight w:val="315"/>
        </w:trPr>
        <w:tc>
          <w:tcPr>
            <w:tcW w:w="2425" w:type="dxa"/>
            <w:tcBorders>
              <w:top w:val="nil"/>
              <w:left w:val="single" w:sz="8" w:space="0" w:color="auto"/>
              <w:bottom w:val="single" w:sz="8" w:space="0" w:color="auto"/>
              <w:right w:val="single" w:sz="8" w:space="0" w:color="auto"/>
            </w:tcBorders>
            <w:shd w:val="clear" w:color="000000" w:fill="D9D9D9"/>
            <w:vAlign w:val="center"/>
            <w:hideMark/>
          </w:tcPr>
          <w:p w:rsidR="001A1A61" w:rsidRPr="001A1A61" w:rsidRDefault="001A1A61" w:rsidP="001A1A61">
            <w:pPr>
              <w:spacing w:after="0" w:line="240" w:lineRule="auto"/>
              <w:rPr>
                <w:rFonts w:ascii="Arial" w:eastAsia="Times New Roman" w:hAnsi="Arial" w:cs="Arial"/>
                <w:b/>
                <w:bCs/>
                <w:color w:val="000000"/>
                <w:sz w:val="18"/>
                <w:szCs w:val="18"/>
                <w:lang w:eastAsia="cs-CZ"/>
              </w:rPr>
            </w:pPr>
            <w:r w:rsidRPr="001A1A61">
              <w:rPr>
                <w:rFonts w:ascii="Arial" w:eastAsia="Times New Roman" w:hAnsi="Arial" w:cs="Arial"/>
                <w:b/>
                <w:bCs/>
                <w:color w:val="000000"/>
                <w:sz w:val="18"/>
                <w:szCs w:val="18"/>
                <w:lang w:eastAsia="cs-CZ"/>
              </w:rPr>
              <w:t>Celkem</w:t>
            </w:r>
          </w:p>
        </w:tc>
        <w:tc>
          <w:tcPr>
            <w:tcW w:w="1985" w:type="dxa"/>
            <w:tcBorders>
              <w:top w:val="nil"/>
              <w:left w:val="nil"/>
              <w:bottom w:val="single" w:sz="8" w:space="0" w:color="auto"/>
              <w:right w:val="single" w:sz="8" w:space="0" w:color="auto"/>
            </w:tcBorders>
            <w:shd w:val="clear" w:color="000000" w:fill="D9D9D9"/>
            <w:vAlign w:val="center"/>
            <w:hideMark/>
          </w:tcPr>
          <w:p w:rsidR="001A1A61" w:rsidRPr="001A1A61" w:rsidRDefault="001A1A61" w:rsidP="001A1A61">
            <w:pPr>
              <w:spacing w:after="0" w:line="240" w:lineRule="auto"/>
              <w:jc w:val="right"/>
              <w:rPr>
                <w:rFonts w:ascii="Arial" w:eastAsia="Times New Roman" w:hAnsi="Arial" w:cs="Arial"/>
                <w:b/>
                <w:bCs/>
                <w:color w:val="000000"/>
                <w:sz w:val="18"/>
                <w:szCs w:val="18"/>
                <w:lang w:eastAsia="cs-CZ"/>
              </w:rPr>
            </w:pPr>
            <w:r w:rsidRPr="001A1A61">
              <w:rPr>
                <w:rFonts w:ascii="Arial" w:eastAsia="Times New Roman" w:hAnsi="Arial" w:cs="Arial"/>
                <w:b/>
                <w:bCs/>
                <w:color w:val="000000"/>
                <w:sz w:val="18"/>
                <w:szCs w:val="18"/>
                <w:lang w:eastAsia="cs-CZ"/>
              </w:rPr>
              <w:t>9 597</w:t>
            </w:r>
          </w:p>
        </w:tc>
        <w:tc>
          <w:tcPr>
            <w:tcW w:w="1984" w:type="dxa"/>
            <w:tcBorders>
              <w:top w:val="nil"/>
              <w:left w:val="nil"/>
              <w:bottom w:val="single" w:sz="8" w:space="0" w:color="auto"/>
              <w:right w:val="single" w:sz="8" w:space="0" w:color="auto"/>
            </w:tcBorders>
            <w:shd w:val="clear" w:color="000000" w:fill="D9D9D9"/>
            <w:vAlign w:val="center"/>
            <w:hideMark/>
          </w:tcPr>
          <w:p w:rsidR="001A1A61" w:rsidRPr="001A1A61" w:rsidRDefault="001A1A61" w:rsidP="001A1A61">
            <w:pPr>
              <w:spacing w:after="0" w:line="240" w:lineRule="auto"/>
              <w:jc w:val="right"/>
              <w:rPr>
                <w:rFonts w:ascii="Arial" w:eastAsia="Times New Roman" w:hAnsi="Arial" w:cs="Arial"/>
                <w:b/>
                <w:bCs/>
                <w:color w:val="000000"/>
                <w:sz w:val="18"/>
                <w:szCs w:val="18"/>
                <w:lang w:eastAsia="cs-CZ"/>
              </w:rPr>
            </w:pPr>
            <w:r w:rsidRPr="001A1A61">
              <w:rPr>
                <w:rFonts w:ascii="Arial" w:eastAsia="Times New Roman" w:hAnsi="Arial" w:cs="Arial"/>
                <w:b/>
                <w:bCs/>
                <w:color w:val="000000"/>
                <w:sz w:val="18"/>
                <w:szCs w:val="18"/>
                <w:lang w:eastAsia="cs-CZ"/>
              </w:rPr>
              <w:t>11 540</w:t>
            </w:r>
          </w:p>
        </w:tc>
        <w:tc>
          <w:tcPr>
            <w:tcW w:w="2693" w:type="dxa"/>
            <w:tcBorders>
              <w:top w:val="nil"/>
              <w:left w:val="nil"/>
              <w:bottom w:val="single" w:sz="8" w:space="0" w:color="auto"/>
              <w:right w:val="single" w:sz="8" w:space="0" w:color="auto"/>
            </w:tcBorders>
            <w:shd w:val="clear" w:color="000000" w:fill="D9D9D9"/>
            <w:vAlign w:val="center"/>
            <w:hideMark/>
          </w:tcPr>
          <w:p w:rsidR="001A1A61" w:rsidRPr="001A1A61" w:rsidRDefault="001A1A61" w:rsidP="001A1A61">
            <w:pPr>
              <w:spacing w:after="0" w:line="240" w:lineRule="auto"/>
              <w:rPr>
                <w:rFonts w:ascii="Arial" w:eastAsia="Times New Roman" w:hAnsi="Arial" w:cs="Arial"/>
                <w:b/>
                <w:bCs/>
                <w:color w:val="000000"/>
                <w:sz w:val="18"/>
                <w:szCs w:val="18"/>
                <w:lang w:eastAsia="cs-CZ"/>
              </w:rPr>
            </w:pPr>
            <w:r w:rsidRPr="001A1A61">
              <w:rPr>
                <w:rFonts w:ascii="Arial" w:eastAsia="Times New Roman" w:hAnsi="Arial" w:cs="Arial"/>
                <w:b/>
                <w:bCs/>
                <w:color w:val="000000"/>
                <w:sz w:val="18"/>
                <w:szCs w:val="18"/>
                <w:lang w:eastAsia="cs-CZ"/>
              </w:rPr>
              <w:t> </w:t>
            </w:r>
          </w:p>
        </w:tc>
      </w:tr>
    </w:tbl>
    <w:p w:rsidR="001A1A61" w:rsidRDefault="001A1A61" w:rsidP="00524D9E">
      <w:pPr>
        <w:rPr>
          <w:rFonts w:ascii="Times New Roman" w:hAnsi="Times New Roman" w:cs="Times New Roman"/>
          <w:b/>
          <w:sz w:val="28"/>
          <w:szCs w:val="28"/>
        </w:rPr>
      </w:pPr>
    </w:p>
    <w:p w:rsidR="00524D9E" w:rsidRDefault="00524D9E" w:rsidP="00524D9E">
      <w:pPr>
        <w:rPr>
          <w:rFonts w:ascii="Times New Roman" w:hAnsi="Times New Roman" w:cs="Times New Roman"/>
          <w:b/>
          <w:sz w:val="28"/>
          <w:szCs w:val="28"/>
        </w:rPr>
      </w:pPr>
      <w:r w:rsidRPr="00524D9E">
        <w:rPr>
          <w:rFonts w:ascii="Times New Roman" w:hAnsi="Times New Roman" w:cs="Times New Roman"/>
          <w:b/>
          <w:sz w:val="28"/>
          <w:szCs w:val="28"/>
        </w:rPr>
        <w:t>1.3</w:t>
      </w:r>
      <w:r w:rsidRPr="00524D9E">
        <w:rPr>
          <w:rFonts w:ascii="Times New Roman" w:hAnsi="Times New Roman" w:cs="Times New Roman"/>
          <w:b/>
          <w:sz w:val="28"/>
          <w:szCs w:val="28"/>
        </w:rPr>
        <w:tab/>
        <w:t>Výsledky v oblasti investic</w:t>
      </w:r>
    </w:p>
    <w:p w:rsidR="00554928" w:rsidRDefault="00554928" w:rsidP="00524D9E">
      <w:pPr>
        <w:rPr>
          <w:rFonts w:ascii="Times New Roman" w:eastAsia="Times New Roman" w:hAnsi="Times New Roman" w:cs="Times New Roman"/>
          <w:sz w:val="24"/>
          <w:szCs w:val="24"/>
        </w:rPr>
      </w:pPr>
      <w:r w:rsidRPr="00554928">
        <w:rPr>
          <w:rFonts w:ascii="Times New Roman" w:eastAsia="Times New Roman" w:hAnsi="Times New Roman" w:cs="Times New Roman"/>
          <w:sz w:val="24"/>
          <w:szCs w:val="24"/>
        </w:rPr>
        <w:t>Pojišťovna investuje volné finanční prostředky do státních dluhopisů v české měně, ostatní volné finanční prostředky Pojišťovna ukládá formou depozit v peněžních ústavech, přičemž dodržuje zásady obezřetnosti a je zajištěna likvidita finančních prostředků.</w:t>
      </w:r>
    </w:p>
    <w:p w:rsidR="00554928" w:rsidRPr="00554928" w:rsidRDefault="00554928" w:rsidP="00554928">
      <w:pPr>
        <w:rPr>
          <w:rFonts w:ascii="Times New Roman" w:hAnsi="Times New Roman" w:cs="Times New Roman"/>
          <w:sz w:val="24"/>
          <w:szCs w:val="24"/>
        </w:rPr>
      </w:pPr>
      <w:r w:rsidRPr="00554928">
        <w:rPr>
          <w:rFonts w:ascii="Times New Roman" w:hAnsi="Times New Roman" w:cs="Times New Roman"/>
          <w:sz w:val="24"/>
          <w:szCs w:val="24"/>
        </w:rPr>
        <w:t>Pojišťovna drží nemovitost, kter</w:t>
      </w:r>
      <w:r>
        <w:rPr>
          <w:rFonts w:ascii="Times New Roman" w:hAnsi="Times New Roman" w:cs="Times New Roman"/>
          <w:sz w:val="24"/>
          <w:szCs w:val="24"/>
        </w:rPr>
        <w:t>á</w:t>
      </w:r>
      <w:r w:rsidRPr="00554928">
        <w:rPr>
          <w:rFonts w:ascii="Times New Roman" w:hAnsi="Times New Roman" w:cs="Times New Roman"/>
          <w:sz w:val="24"/>
          <w:szCs w:val="24"/>
        </w:rPr>
        <w:t xml:space="preserve"> byl</w:t>
      </w:r>
      <w:r>
        <w:rPr>
          <w:rFonts w:ascii="Times New Roman" w:hAnsi="Times New Roman" w:cs="Times New Roman"/>
          <w:sz w:val="24"/>
          <w:szCs w:val="24"/>
        </w:rPr>
        <w:t>a</w:t>
      </w:r>
      <w:r w:rsidRPr="00554928">
        <w:rPr>
          <w:rFonts w:ascii="Times New Roman" w:hAnsi="Times New Roman" w:cs="Times New Roman"/>
          <w:sz w:val="24"/>
          <w:szCs w:val="24"/>
        </w:rPr>
        <w:t xml:space="preserve"> vložen</w:t>
      </w:r>
      <w:r>
        <w:rPr>
          <w:rFonts w:ascii="Times New Roman" w:hAnsi="Times New Roman" w:cs="Times New Roman"/>
          <w:sz w:val="24"/>
          <w:szCs w:val="24"/>
        </w:rPr>
        <w:t>a</w:t>
      </w:r>
      <w:r w:rsidRPr="00554928">
        <w:rPr>
          <w:rFonts w:ascii="Times New Roman" w:hAnsi="Times New Roman" w:cs="Times New Roman"/>
          <w:sz w:val="24"/>
          <w:szCs w:val="24"/>
        </w:rPr>
        <w:t xml:space="preserve"> do základního kapitálu v minulých letech a </w:t>
      </w:r>
      <w:r>
        <w:rPr>
          <w:rFonts w:ascii="Times New Roman" w:hAnsi="Times New Roman" w:cs="Times New Roman"/>
          <w:sz w:val="24"/>
          <w:szCs w:val="24"/>
        </w:rPr>
        <w:t>pravidelně provádí valuaci této nemovitosti</w:t>
      </w:r>
      <w:r w:rsidRPr="00554928">
        <w:rPr>
          <w:rFonts w:ascii="Times New Roman" w:hAnsi="Times New Roman" w:cs="Times New Roman"/>
          <w:sz w:val="24"/>
          <w:szCs w:val="24"/>
        </w:rPr>
        <w:t xml:space="preserve">. </w:t>
      </w:r>
    </w:p>
    <w:p w:rsidR="00554928" w:rsidRPr="00554928" w:rsidRDefault="00554928" w:rsidP="00554928">
      <w:pPr>
        <w:rPr>
          <w:rFonts w:ascii="Times New Roman" w:hAnsi="Times New Roman" w:cs="Times New Roman"/>
          <w:sz w:val="24"/>
          <w:szCs w:val="24"/>
        </w:rPr>
      </w:pPr>
      <w:r w:rsidRPr="00554928">
        <w:rPr>
          <w:rFonts w:ascii="Times New Roman" w:hAnsi="Times New Roman" w:cs="Times New Roman"/>
          <w:sz w:val="24"/>
          <w:szCs w:val="24"/>
        </w:rPr>
        <w:t>Investiční strategií pro další období je alokovat finanční zdroje do státních dluhopisů a do instrumentů peněžního trhu, přičemž je dodržována zásada diverzifikace peněžních ústavů, aby bylo eliminováno nadměrné riziko portfolia. Byly</w:t>
      </w:r>
      <w:r>
        <w:rPr>
          <w:rFonts w:ascii="Times New Roman" w:hAnsi="Times New Roman" w:cs="Times New Roman"/>
          <w:sz w:val="24"/>
          <w:szCs w:val="24"/>
        </w:rPr>
        <w:t xml:space="preserve"> stanoveny limity na dluhopisy </w:t>
      </w:r>
      <w:r w:rsidRPr="00554928">
        <w:rPr>
          <w:rFonts w:ascii="Times New Roman" w:hAnsi="Times New Roman" w:cs="Times New Roman"/>
          <w:sz w:val="24"/>
          <w:szCs w:val="24"/>
        </w:rPr>
        <w:t>a depozita. Alokace do dluhových instrumentů ale nenese vlivem nízkých úrokových sazeb patřičný výnos, české státní dluhopisy do 7 let nesou záporný výnos.</w:t>
      </w:r>
    </w:p>
    <w:p w:rsidR="00554928" w:rsidRDefault="00554928" w:rsidP="00554928">
      <w:pPr>
        <w:rPr>
          <w:rFonts w:ascii="Times New Roman" w:hAnsi="Times New Roman" w:cs="Times New Roman"/>
          <w:sz w:val="24"/>
          <w:szCs w:val="24"/>
        </w:rPr>
      </w:pPr>
      <w:r w:rsidRPr="00554928">
        <w:rPr>
          <w:rFonts w:ascii="Times New Roman" w:hAnsi="Times New Roman" w:cs="Times New Roman"/>
          <w:sz w:val="24"/>
          <w:szCs w:val="24"/>
        </w:rPr>
        <w:t>V následující tabulce je přehled výkonnosti investic Pojišťovny dle jednotlivých tříd aktiv.</w:t>
      </w:r>
    </w:p>
    <w:tbl>
      <w:tblPr>
        <w:tblW w:w="9520" w:type="dxa"/>
        <w:tblInd w:w="55" w:type="dxa"/>
        <w:tblCellMar>
          <w:left w:w="0" w:type="dxa"/>
          <w:right w:w="0" w:type="dxa"/>
        </w:tblCellMar>
        <w:tblLook w:val="04A0" w:firstRow="1" w:lastRow="0" w:firstColumn="1" w:lastColumn="0" w:noHBand="0" w:noVBand="1"/>
      </w:tblPr>
      <w:tblGrid>
        <w:gridCol w:w="1201"/>
        <w:gridCol w:w="991"/>
        <w:gridCol w:w="1298"/>
        <w:gridCol w:w="991"/>
        <w:gridCol w:w="1000"/>
        <w:gridCol w:w="901"/>
        <w:gridCol w:w="937"/>
        <w:gridCol w:w="1203"/>
        <w:gridCol w:w="998"/>
      </w:tblGrid>
      <w:tr w:rsidR="00477DAA" w:rsidTr="00477DAA">
        <w:trPr>
          <w:trHeight w:val="735"/>
        </w:trPr>
        <w:tc>
          <w:tcPr>
            <w:tcW w:w="1201" w:type="dxa"/>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Aktivum</w:t>
            </w:r>
          </w:p>
        </w:tc>
        <w:tc>
          <w:tcPr>
            <w:tcW w:w="949"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Období</w:t>
            </w:r>
          </w:p>
        </w:tc>
        <w:tc>
          <w:tcPr>
            <w:tcW w:w="1315"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Úrokový výnos</w:t>
            </w:r>
          </w:p>
        </w:tc>
        <w:tc>
          <w:tcPr>
            <w:tcW w:w="991"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Náklad z přecenění</w:t>
            </w:r>
          </w:p>
        </w:tc>
        <w:tc>
          <w:tcPr>
            <w:tcW w:w="1000"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Výnos z přecenění</w:t>
            </w:r>
          </w:p>
        </w:tc>
        <w:tc>
          <w:tcPr>
            <w:tcW w:w="901"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Náklad z realizace</w:t>
            </w:r>
          </w:p>
        </w:tc>
        <w:tc>
          <w:tcPr>
            <w:tcW w:w="938"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Výnos z realizace</w:t>
            </w:r>
          </w:p>
        </w:tc>
        <w:tc>
          <w:tcPr>
            <w:tcW w:w="1218"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Ostatní náklady</w:t>
            </w:r>
          </w:p>
        </w:tc>
        <w:tc>
          <w:tcPr>
            <w:tcW w:w="1007" w:type="dxa"/>
            <w:tcBorders>
              <w:top w:val="single" w:sz="8" w:space="0" w:color="auto"/>
              <w:left w:val="nil"/>
              <w:bottom w:val="single" w:sz="8" w:space="0" w:color="auto"/>
              <w:right w:val="single" w:sz="8" w:space="0" w:color="auto"/>
            </w:tcBorders>
            <w:shd w:val="clear" w:color="auto" w:fill="92D050"/>
            <w:tcMar>
              <w:top w:w="0" w:type="dxa"/>
              <w:left w:w="70" w:type="dxa"/>
              <w:bottom w:w="0" w:type="dxa"/>
              <w:right w:w="70" w:type="dxa"/>
            </w:tcMar>
            <w:vAlign w:val="center"/>
            <w:hideMark/>
          </w:tcPr>
          <w:p w:rsidR="00477DAA" w:rsidRDefault="00477DAA">
            <w:pPr>
              <w:jc w:val="center"/>
              <w:rPr>
                <w:rFonts w:ascii="Arial" w:hAnsi="Arial" w:cs="Arial"/>
                <w:b/>
                <w:bCs/>
                <w:color w:val="FFFFFF"/>
                <w:sz w:val="18"/>
                <w:szCs w:val="18"/>
                <w:lang w:eastAsia="cs-CZ"/>
              </w:rPr>
            </w:pPr>
            <w:r>
              <w:rPr>
                <w:rFonts w:ascii="Arial" w:hAnsi="Arial" w:cs="Arial"/>
                <w:b/>
                <w:bCs/>
                <w:color w:val="FFFFFF"/>
                <w:sz w:val="18"/>
                <w:szCs w:val="18"/>
                <w:lang w:eastAsia="cs-CZ"/>
              </w:rPr>
              <w:t>Ostatní výnosy</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477DAA" w:rsidRDefault="00477DAA">
            <w:pPr>
              <w:rPr>
                <w:rFonts w:ascii="Arial" w:hAnsi="Arial" w:cs="Arial"/>
                <w:color w:val="000000"/>
                <w:sz w:val="18"/>
                <w:szCs w:val="18"/>
                <w:lang w:eastAsia="cs-CZ"/>
              </w:rPr>
            </w:pPr>
            <w:r>
              <w:rPr>
                <w:rFonts w:ascii="Arial" w:hAnsi="Arial" w:cs="Arial"/>
                <w:color w:val="000000"/>
                <w:sz w:val="18"/>
                <w:szCs w:val="18"/>
                <w:lang w:eastAsia="cs-CZ"/>
              </w:rPr>
              <w:t>Termínované vklady</w:t>
            </w: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2016</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2</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color w:val="000000"/>
                <w:sz w:val="18"/>
                <w:szCs w:val="18"/>
                <w:lang w:eastAsia="cs-CZ"/>
              </w:rPr>
            </w:pP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2015</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13</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477DAA" w:rsidRDefault="00477DAA">
            <w:pPr>
              <w:rPr>
                <w:rFonts w:ascii="Arial" w:hAnsi="Arial" w:cs="Arial"/>
                <w:color w:val="000000"/>
                <w:sz w:val="18"/>
                <w:szCs w:val="18"/>
                <w:lang w:eastAsia="cs-CZ"/>
              </w:rPr>
            </w:pPr>
            <w:r>
              <w:rPr>
                <w:rFonts w:ascii="Arial" w:hAnsi="Arial" w:cs="Arial"/>
                <w:color w:val="000000"/>
                <w:sz w:val="18"/>
                <w:szCs w:val="18"/>
                <w:lang w:eastAsia="cs-CZ"/>
              </w:rPr>
              <w:t>Dluhopisy</w:t>
            </w: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2016</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254</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449</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349</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40</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color w:val="000000"/>
                <w:sz w:val="18"/>
                <w:szCs w:val="18"/>
                <w:lang w:eastAsia="cs-CZ"/>
              </w:rPr>
            </w:pP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2015</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545</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21</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1906</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9542</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9650</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56</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477DAA" w:rsidRDefault="00477DAA">
            <w:pPr>
              <w:rPr>
                <w:rFonts w:ascii="Arial" w:hAnsi="Arial" w:cs="Arial"/>
                <w:color w:val="000000"/>
                <w:sz w:val="18"/>
                <w:szCs w:val="18"/>
                <w:lang w:eastAsia="cs-CZ"/>
              </w:rPr>
            </w:pPr>
            <w:r>
              <w:rPr>
                <w:rFonts w:ascii="Arial" w:hAnsi="Arial" w:cs="Arial"/>
                <w:color w:val="000000"/>
                <w:sz w:val="18"/>
                <w:szCs w:val="18"/>
                <w:lang w:eastAsia="cs-CZ"/>
              </w:rPr>
              <w:t>Nemovitosti</w:t>
            </w: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2016</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1950</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1807</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color w:val="000000"/>
                <w:sz w:val="18"/>
                <w:szCs w:val="18"/>
                <w:lang w:eastAsia="cs-CZ"/>
              </w:rPr>
            </w:pP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2015</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1950</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1807</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477DAA" w:rsidRDefault="00477DAA">
            <w:pPr>
              <w:rPr>
                <w:rFonts w:ascii="Arial" w:hAnsi="Arial" w:cs="Arial"/>
                <w:color w:val="000000"/>
                <w:sz w:val="18"/>
                <w:szCs w:val="18"/>
                <w:lang w:eastAsia="cs-CZ"/>
              </w:rPr>
            </w:pPr>
            <w:r>
              <w:rPr>
                <w:rFonts w:ascii="Arial" w:hAnsi="Arial" w:cs="Arial"/>
                <w:color w:val="000000"/>
                <w:sz w:val="18"/>
                <w:szCs w:val="18"/>
                <w:lang w:eastAsia="cs-CZ"/>
              </w:rPr>
              <w:t>Půjčky</w:t>
            </w: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2016</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1065</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color w:val="000000"/>
                <w:sz w:val="18"/>
                <w:szCs w:val="18"/>
                <w:lang w:eastAsia="cs-CZ"/>
              </w:rPr>
            </w:pPr>
          </w:p>
        </w:tc>
        <w:tc>
          <w:tcPr>
            <w:tcW w:w="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2015</w:t>
            </w:r>
          </w:p>
        </w:tc>
        <w:tc>
          <w:tcPr>
            <w:tcW w:w="131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1155</w:t>
            </w:r>
          </w:p>
        </w:tc>
        <w:tc>
          <w:tcPr>
            <w:tcW w:w="99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2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c>
          <w:tcPr>
            <w:tcW w:w="10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AA" w:rsidRDefault="00477DAA" w:rsidP="00477DAA">
            <w:pPr>
              <w:spacing w:after="0"/>
              <w:jc w:val="right"/>
              <w:rPr>
                <w:rFonts w:ascii="Arial" w:hAnsi="Arial" w:cs="Arial"/>
                <w:color w:val="000000"/>
                <w:sz w:val="18"/>
                <w:szCs w:val="18"/>
                <w:lang w:eastAsia="cs-CZ"/>
              </w:rPr>
            </w:pPr>
            <w:r>
              <w:rPr>
                <w:rFonts w:ascii="Arial" w:hAnsi="Arial" w:cs="Arial"/>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pPr>
              <w:rPr>
                <w:rFonts w:ascii="Arial" w:hAnsi="Arial" w:cs="Arial"/>
                <w:b/>
                <w:bCs/>
                <w:color w:val="000000"/>
                <w:sz w:val="18"/>
                <w:szCs w:val="18"/>
                <w:lang w:eastAsia="cs-CZ"/>
              </w:rPr>
            </w:pPr>
            <w:r>
              <w:rPr>
                <w:rFonts w:ascii="Arial" w:hAnsi="Arial" w:cs="Arial"/>
                <w:b/>
                <w:bCs/>
                <w:color w:val="000000"/>
                <w:sz w:val="18"/>
                <w:szCs w:val="18"/>
                <w:lang w:eastAsia="cs-CZ"/>
              </w:rPr>
              <w:t xml:space="preserve">Celkem </w:t>
            </w: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2016</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3271</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449</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349</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1847</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b/>
                <w:bCs/>
                <w:color w:val="000000"/>
                <w:sz w:val="18"/>
                <w:szCs w:val="18"/>
                <w:lang w:eastAsia="cs-CZ"/>
              </w:rPr>
            </w:pP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2015</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3663</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21</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1906</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9542</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9650</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1863</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pPr>
              <w:rPr>
                <w:rFonts w:ascii="Arial" w:hAnsi="Arial" w:cs="Arial"/>
                <w:b/>
                <w:bCs/>
                <w:color w:val="000000"/>
                <w:sz w:val="18"/>
                <w:szCs w:val="18"/>
                <w:lang w:eastAsia="cs-CZ"/>
              </w:rPr>
            </w:pPr>
            <w:r>
              <w:rPr>
                <w:rFonts w:ascii="Arial" w:hAnsi="Arial" w:cs="Arial"/>
                <w:b/>
                <w:bCs/>
                <w:color w:val="000000"/>
                <w:sz w:val="18"/>
                <w:szCs w:val="18"/>
                <w:lang w:eastAsia="cs-CZ"/>
              </w:rPr>
              <w:t>Z toho v VZZ</w:t>
            </w: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2016</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3271</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449</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349</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1847</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b/>
                <w:bCs/>
                <w:color w:val="000000"/>
                <w:sz w:val="18"/>
                <w:szCs w:val="18"/>
                <w:lang w:eastAsia="cs-CZ"/>
              </w:rPr>
            </w:pP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2015</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3663</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21</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1906</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9542</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9650</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1863</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r>
      <w:tr w:rsidR="00477DAA" w:rsidTr="00477DAA">
        <w:trPr>
          <w:trHeight w:val="300"/>
        </w:trPr>
        <w:tc>
          <w:tcPr>
            <w:tcW w:w="1201" w:type="dxa"/>
            <w:vMerge w:val="restart"/>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pPr>
              <w:rPr>
                <w:rFonts w:ascii="Arial" w:hAnsi="Arial" w:cs="Arial"/>
                <w:b/>
                <w:bCs/>
                <w:color w:val="000000"/>
                <w:sz w:val="18"/>
                <w:szCs w:val="18"/>
                <w:lang w:eastAsia="cs-CZ"/>
              </w:rPr>
            </w:pPr>
            <w:r>
              <w:rPr>
                <w:rFonts w:ascii="Arial" w:hAnsi="Arial" w:cs="Arial"/>
                <w:b/>
                <w:bCs/>
                <w:color w:val="000000"/>
                <w:sz w:val="18"/>
                <w:szCs w:val="18"/>
                <w:lang w:eastAsia="cs-CZ"/>
              </w:rPr>
              <w:t>Z toho v rozvaze</w:t>
            </w: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r>
      <w:tr w:rsidR="00477DAA" w:rsidTr="00477DAA">
        <w:trPr>
          <w:trHeight w:val="300"/>
        </w:trPr>
        <w:tc>
          <w:tcPr>
            <w:tcW w:w="0" w:type="auto"/>
            <w:vMerge/>
            <w:tcBorders>
              <w:top w:val="nil"/>
              <w:left w:val="single" w:sz="8" w:space="0" w:color="auto"/>
              <w:bottom w:val="single" w:sz="8" w:space="0" w:color="auto"/>
              <w:right w:val="single" w:sz="8" w:space="0" w:color="auto"/>
            </w:tcBorders>
            <w:vAlign w:val="center"/>
            <w:hideMark/>
          </w:tcPr>
          <w:p w:rsidR="00477DAA" w:rsidRDefault="00477DAA">
            <w:pPr>
              <w:rPr>
                <w:rFonts w:ascii="Arial" w:hAnsi="Arial" w:cs="Arial"/>
                <w:b/>
                <w:bCs/>
                <w:color w:val="000000"/>
                <w:sz w:val="18"/>
                <w:szCs w:val="18"/>
                <w:lang w:eastAsia="cs-CZ"/>
              </w:rPr>
            </w:pPr>
          </w:p>
        </w:tc>
        <w:tc>
          <w:tcPr>
            <w:tcW w:w="94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31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9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00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93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21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c>
          <w:tcPr>
            <w:tcW w:w="100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77DAA" w:rsidRDefault="00477DAA" w:rsidP="00477DAA">
            <w:pPr>
              <w:spacing w:after="0"/>
              <w:jc w:val="right"/>
              <w:rPr>
                <w:rFonts w:ascii="Arial" w:hAnsi="Arial" w:cs="Arial"/>
                <w:b/>
                <w:bCs/>
                <w:color w:val="000000"/>
                <w:sz w:val="18"/>
                <w:szCs w:val="18"/>
                <w:lang w:eastAsia="cs-CZ"/>
              </w:rPr>
            </w:pPr>
            <w:r>
              <w:rPr>
                <w:rFonts w:ascii="Arial" w:hAnsi="Arial" w:cs="Arial"/>
                <w:b/>
                <w:bCs/>
                <w:color w:val="000000"/>
                <w:sz w:val="18"/>
                <w:szCs w:val="18"/>
                <w:lang w:eastAsia="cs-CZ"/>
              </w:rPr>
              <w:t> </w:t>
            </w:r>
          </w:p>
        </w:tc>
      </w:tr>
    </w:tbl>
    <w:p w:rsidR="00477DAA" w:rsidRDefault="00477DAA" w:rsidP="00554928">
      <w:pPr>
        <w:rPr>
          <w:rFonts w:ascii="Times New Roman" w:hAnsi="Times New Roman" w:cs="Times New Roman"/>
          <w:sz w:val="24"/>
          <w:szCs w:val="24"/>
        </w:rPr>
      </w:pPr>
    </w:p>
    <w:p w:rsidR="00D84C0D" w:rsidRPr="00554928" w:rsidRDefault="00D84C0D" w:rsidP="00554928">
      <w:pPr>
        <w:rPr>
          <w:rFonts w:ascii="Times New Roman" w:hAnsi="Times New Roman" w:cs="Times New Roman"/>
          <w:sz w:val="24"/>
          <w:szCs w:val="24"/>
        </w:rPr>
      </w:pPr>
    </w:p>
    <w:p w:rsidR="00524D9E" w:rsidRDefault="00524D9E" w:rsidP="00524D9E">
      <w:pPr>
        <w:rPr>
          <w:rFonts w:ascii="Times New Roman" w:hAnsi="Times New Roman" w:cs="Times New Roman"/>
          <w:sz w:val="24"/>
          <w:szCs w:val="24"/>
        </w:rPr>
      </w:pPr>
    </w:p>
    <w:p w:rsidR="00DA0B48" w:rsidRDefault="00DA0B48" w:rsidP="00570F8B">
      <w:pPr>
        <w:rPr>
          <w:rFonts w:ascii="Times New Roman" w:hAnsi="Times New Roman" w:cs="Times New Roman"/>
          <w:sz w:val="24"/>
          <w:szCs w:val="24"/>
        </w:rPr>
      </w:pPr>
      <w:r w:rsidRPr="005A2945">
        <w:rPr>
          <w:rFonts w:ascii="Times New Roman" w:hAnsi="Times New Roman" w:cs="Times New Roman"/>
          <w:sz w:val="24"/>
          <w:szCs w:val="24"/>
        </w:rPr>
        <w:t>V</w:t>
      </w:r>
      <w:r>
        <w:rPr>
          <w:rFonts w:ascii="Times New Roman" w:hAnsi="Times New Roman" w:cs="Times New Roman"/>
          <w:sz w:val="24"/>
          <w:szCs w:val="24"/>
        </w:rPr>
        <w:t> </w:t>
      </w:r>
      <w:r w:rsidRPr="005A2945">
        <w:rPr>
          <w:rFonts w:ascii="Times New Roman" w:hAnsi="Times New Roman" w:cs="Times New Roman"/>
          <w:sz w:val="24"/>
          <w:szCs w:val="24"/>
        </w:rPr>
        <w:t>budouc</w:t>
      </w:r>
      <w:r>
        <w:rPr>
          <w:rFonts w:ascii="Times New Roman" w:hAnsi="Times New Roman" w:cs="Times New Roman"/>
          <w:sz w:val="24"/>
          <w:szCs w:val="24"/>
        </w:rPr>
        <w:t>ích obdobích pojišťovna očekává mírné postupné navyšování úrokových sazeb a s tím související postupný pokles cen státních dluhopisů a mírné navyšování úrokových sazeb termínovaných vkladů. Pro období 2017-2020 nepočítá s významným ziskem z finančního umístění.</w:t>
      </w:r>
    </w:p>
    <w:p w:rsidR="009128A6" w:rsidRPr="009128A6" w:rsidRDefault="009128A6" w:rsidP="00570F8B">
      <w:pPr>
        <w:rPr>
          <w:rFonts w:ascii="Times New Roman" w:hAnsi="Times New Roman" w:cs="Times New Roman"/>
          <w:sz w:val="24"/>
          <w:szCs w:val="24"/>
        </w:rPr>
      </w:pPr>
      <w:r>
        <w:rPr>
          <w:rFonts w:ascii="Times New Roman" w:hAnsi="Times New Roman" w:cs="Times New Roman"/>
          <w:sz w:val="24"/>
          <w:szCs w:val="24"/>
        </w:rPr>
        <w:t xml:space="preserve">Pojišťovna v rámci své investiční činnosti nepoužívá hedging, finanční deriváty ani jiné sekuritizace. Vzhledem k objemům a struktuře držených aktiv nemá smysl tyto operace provádět. </w:t>
      </w:r>
    </w:p>
    <w:p w:rsidR="00570F8B" w:rsidRPr="00570F8B" w:rsidRDefault="00570F8B" w:rsidP="00570F8B">
      <w:pPr>
        <w:rPr>
          <w:rFonts w:ascii="Times New Roman" w:hAnsi="Times New Roman" w:cs="Times New Roman"/>
          <w:b/>
          <w:sz w:val="28"/>
          <w:szCs w:val="28"/>
        </w:rPr>
      </w:pPr>
      <w:r w:rsidRPr="00570F8B">
        <w:rPr>
          <w:rFonts w:ascii="Times New Roman" w:hAnsi="Times New Roman" w:cs="Times New Roman"/>
          <w:b/>
          <w:sz w:val="28"/>
          <w:szCs w:val="28"/>
        </w:rPr>
        <w:t>1.4</w:t>
      </w:r>
      <w:r w:rsidRPr="00570F8B">
        <w:rPr>
          <w:rFonts w:ascii="Times New Roman" w:hAnsi="Times New Roman" w:cs="Times New Roman"/>
          <w:b/>
          <w:sz w:val="28"/>
          <w:szCs w:val="28"/>
        </w:rPr>
        <w:tab/>
        <w:t>Výsledky v jiných oblastech činnosti</w:t>
      </w:r>
    </w:p>
    <w:p w:rsidR="00DA0B48" w:rsidRDefault="00DA0B48" w:rsidP="00570F8B">
      <w:pPr>
        <w:rPr>
          <w:rFonts w:ascii="Times New Roman" w:hAnsi="Times New Roman" w:cs="Times New Roman"/>
          <w:sz w:val="24"/>
          <w:szCs w:val="24"/>
        </w:rPr>
      </w:pPr>
      <w:r w:rsidRPr="00DA0B48">
        <w:rPr>
          <w:rFonts w:ascii="Times New Roman" w:hAnsi="Times New Roman" w:cs="Times New Roman"/>
          <w:sz w:val="24"/>
          <w:szCs w:val="24"/>
        </w:rPr>
        <w:t>Pojišťovna nemá žádné jiné oblasti činnosti, v nichž by zaznamenala významné výnosy nebo náklady ovlivňující hospodářský výsledek.</w:t>
      </w:r>
    </w:p>
    <w:p w:rsidR="00477DAA" w:rsidRDefault="00477DAA" w:rsidP="00570F8B">
      <w:pPr>
        <w:rPr>
          <w:rFonts w:ascii="Times New Roman" w:hAnsi="Times New Roman" w:cs="Times New Roman"/>
          <w:sz w:val="24"/>
          <w:szCs w:val="24"/>
        </w:rPr>
      </w:pPr>
    </w:p>
    <w:p w:rsidR="00537628" w:rsidRPr="00570F8B" w:rsidRDefault="00537628" w:rsidP="00537628">
      <w:pPr>
        <w:rPr>
          <w:rFonts w:ascii="Times New Roman" w:hAnsi="Times New Roman" w:cs="Times New Roman"/>
          <w:b/>
          <w:sz w:val="28"/>
          <w:szCs w:val="28"/>
        </w:rPr>
      </w:pPr>
      <w:r w:rsidRPr="00570F8B">
        <w:rPr>
          <w:rFonts w:ascii="Times New Roman" w:hAnsi="Times New Roman" w:cs="Times New Roman"/>
          <w:b/>
          <w:sz w:val="28"/>
          <w:szCs w:val="28"/>
        </w:rPr>
        <w:t>1.4</w:t>
      </w:r>
      <w:r w:rsidRPr="00570F8B">
        <w:rPr>
          <w:rFonts w:ascii="Times New Roman" w:hAnsi="Times New Roman" w:cs="Times New Roman"/>
          <w:b/>
          <w:sz w:val="28"/>
          <w:szCs w:val="28"/>
        </w:rPr>
        <w:tab/>
        <w:t>Výsledky v jiných oblastech činnosti</w:t>
      </w:r>
    </w:p>
    <w:p w:rsidR="00DA0B48" w:rsidRDefault="00DA0B48" w:rsidP="00DA0B48">
      <w:pPr>
        <w:rPr>
          <w:rFonts w:ascii="Times New Roman" w:hAnsi="Times New Roman" w:cs="Times New Roman"/>
          <w:sz w:val="24"/>
          <w:szCs w:val="24"/>
        </w:rPr>
      </w:pPr>
      <w:r>
        <w:rPr>
          <w:rFonts w:ascii="Times New Roman" w:hAnsi="Times New Roman" w:cs="Times New Roman"/>
          <w:sz w:val="24"/>
          <w:szCs w:val="24"/>
        </w:rPr>
        <w:t>Vše, co pojišťovna považuje za podstatné, bylo zmíněno v předchozích odstavcích.</w:t>
      </w:r>
    </w:p>
    <w:p w:rsidR="00DA0B48" w:rsidRDefault="00DA0B48" w:rsidP="00570F8B">
      <w:pPr>
        <w:rPr>
          <w:rFonts w:ascii="Times New Roman" w:hAnsi="Times New Roman" w:cs="Times New Roman"/>
          <w:b/>
          <w:sz w:val="28"/>
          <w:szCs w:val="28"/>
        </w:rPr>
      </w:pPr>
    </w:p>
    <w:p w:rsidR="00570F8B" w:rsidRPr="00570F8B" w:rsidRDefault="00570F8B" w:rsidP="00570F8B">
      <w:pPr>
        <w:rPr>
          <w:rFonts w:ascii="Times New Roman" w:hAnsi="Times New Roman" w:cs="Times New Roman"/>
          <w:b/>
          <w:sz w:val="28"/>
          <w:szCs w:val="28"/>
        </w:rPr>
      </w:pPr>
      <w:r w:rsidRPr="00570F8B">
        <w:rPr>
          <w:rFonts w:ascii="Times New Roman" w:hAnsi="Times New Roman" w:cs="Times New Roman"/>
          <w:b/>
          <w:sz w:val="28"/>
          <w:szCs w:val="28"/>
        </w:rPr>
        <w:t>2</w:t>
      </w:r>
      <w:r w:rsidRPr="00570F8B">
        <w:rPr>
          <w:rFonts w:ascii="Times New Roman" w:hAnsi="Times New Roman" w:cs="Times New Roman"/>
          <w:b/>
          <w:sz w:val="28"/>
          <w:szCs w:val="28"/>
        </w:rPr>
        <w:tab/>
        <w:t>Řídící a kontrolní systém</w:t>
      </w:r>
    </w:p>
    <w:p w:rsidR="00570F8B" w:rsidRPr="00570F8B" w:rsidRDefault="00570F8B" w:rsidP="00570F8B">
      <w:pPr>
        <w:rPr>
          <w:rFonts w:ascii="Times New Roman" w:hAnsi="Times New Roman" w:cs="Times New Roman"/>
          <w:b/>
          <w:sz w:val="28"/>
          <w:szCs w:val="28"/>
        </w:rPr>
      </w:pPr>
      <w:r w:rsidRPr="00570F8B">
        <w:rPr>
          <w:rFonts w:ascii="Times New Roman" w:hAnsi="Times New Roman" w:cs="Times New Roman"/>
          <w:b/>
          <w:sz w:val="28"/>
          <w:szCs w:val="28"/>
        </w:rPr>
        <w:t>2.1</w:t>
      </w:r>
      <w:r w:rsidRPr="00570F8B">
        <w:rPr>
          <w:rFonts w:ascii="Times New Roman" w:hAnsi="Times New Roman" w:cs="Times New Roman"/>
          <w:b/>
          <w:sz w:val="28"/>
          <w:szCs w:val="28"/>
        </w:rPr>
        <w:tab/>
        <w:t>Obecné informace o řídícím a kontrolním systému</w:t>
      </w:r>
    </w:p>
    <w:p w:rsidR="000F078F" w:rsidRP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Řídicí kontrolní systém (ŘKS) je souhrnem všech řídicích aktů a kontrolních aktivit zajišťovaných na jednotlivých úrovních řízení společnosti. Předpokladem funkčnosti a efektivnosti ŘKS je stanovení jednoznačných pravomocí jednotlivých orgánů, výborů, útvarů a zaměstnanců a jejich odpovědností vč. práva a povinnosti kontroly, povinnosti vyhodnocovat výsledky kontrol a práva resp. povinnosti přijímat opatření k nápravě.</w:t>
      </w:r>
    </w:p>
    <w:p w:rsidR="000F078F" w:rsidRP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Představenstvo projednává funkčnost, efektivnost, ucelenost a přiměřenost ŘKS na základě závažného zjištění nebo podnětu některého ze zaměstnanců, vždy však pravidelně minimálně jedenkrát ročně po ukončení kalendářního roku a to především na základě Zprávy o kontrolní činnosti poskytované Interním auditem. Představenstvo následně předkládá materiály k vyhodnocení funkčnosti, efektivnosti, ucelenosti a přiměřenosti ŘKS na nejbližší jednání dozorčí rady; významné nedostatky ŘKS musí být oznámeny dozorčí radě společnosti.</w:t>
      </w:r>
    </w:p>
    <w:p w:rsidR="000F078F" w:rsidRP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Řídícím orgánem se rozumí představenstvo společnosti. Osobou ve vrcholném vedení se rozumí vedoucí pracovník, který zastává ve společnosti výkonnou řídící funkci, při níž zajišťuje každodenní řízení výkonu činností společnosti a je při výkonu této funkce přímo podřízený představenstvu společnosti nebo jeho členovi, a to i v případě, že takovou funkci zastává člen představenstva společnosti. V podmínkách společnosti se jedná o členy představenstva a vedoucí zaměstnance přímo podřízené představenstvu společnosti.</w:t>
      </w:r>
    </w:p>
    <w:p w:rsidR="000F078F" w:rsidRP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Představenstvo je odpovědné za koncepci řízení rizik, tj. odpovídá za nastavení a efektivní fungování systému řízení rizik ve Společnosti. Z odpovědnosti plyne pravomoc Představenstva definovat a upravovat pravidla statutu pro Výbor řízení rizik.</w:t>
      </w:r>
    </w:p>
    <w:p w:rsidR="000F078F" w:rsidRP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Nastavení měsíční odměny včetně podmínek výplaty je provedeno přímo ve smlouvě o výkonu funkce člena představenstva a člena dozorčí rady.</w:t>
      </w:r>
    </w:p>
    <w:p w:rsid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Odměňování činností, které mají významný vliv na celkový rizikový profil Pojišťovny, jež nejsou vykonávány zaměstnanci Pojišťovny, upravuje vnitropodnikový předpis „Pravidla outsourcingu“ a Pojišťovna uplatňuje principy odměňování definované tímto předpisem i vůči třetím stranám.</w:t>
      </w:r>
    </w:p>
    <w:p w:rsidR="0064390D" w:rsidRDefault="0064390D" w:rsidP="000F078F">
      <w:pPr>
        <w:rPr>
          <w:rFonts w:ascii="Times New Roman" w:hAnsi="Times New Roman" w:cs="Times New Roman"/>
          <w:sz w:val="24"/>
          <w:szCs w:val="24"/>
        </w:rPr>
      </w:pPr>
    </w:p>
    <w:p w:rsidR="00477DAA" w:rsidRDefault="00477DAA" w:rsidP="000F078F">
      <w:pPr>
        <w:rPr>
          <w:rFonts w:ascii="Times New Roman" w:hAnsi="Times New Roman" w:cs="Times New Roman"/>
          <w:sz w:val="24"/>
          <w:szCs w:val="24"/>
        </w:rPr>
      </w:pPr>
    </w:p>
    <w:p w:rsidR="0064390D" w:rsidRPr="000F078F" w:rsidRDefault="0064390D" w:rsidP="000F078F">
      <w:pPr>
        <w:rPr>
          <w:rFonts w:ascii="Times New Roman" w:hAnsi="Times New Roman" w:cs="Times New Roman"/>
          <w:sz w:val="24"/>
          <w:szCs w:val="24"/>
        </w:rPr>
      </w:pPr>
    </w:p>
    <w:p w:rsidR="000F078F" w:rsidRDefault="000F078F" w:rsidP="008F1F18">
      <w:pPr>
        <w:rPr>
          <w:rFonts w:ascii="Times New Roman" w:hAnsi="Times New Roman" w:cs="Times New Roman"/>
          <w:sz w:val="24"/>
          <w:szCs w:val="24"/>
        </w:rPr>
      </w:pPr>
      <w:r w:rsidRPr="000F078F">
        <w:rPr>
          <w:rFonts w:ascii="Times New Roman" w:hAnsi="Times New Roman" w:cs="Times New Roman"/>
          <w:sz w:val="24"/>
          <w:szCs w:val="24"/>
        </w:rPr>
        <w:t>Pojiš</w:t>
      </w:r>
      <w:r>
        <w:rPr>
          <w:rFonts w:ascii="Times New Roman" w:hAnsi="Times New Roman" w:cs="Times New Roman"/>
          <w:sz w:val="24"/>
          <w:szCs w:val="24"/>
        </w:rPr>
        <w:t xml:space="preserve">ťovna funguje na základě následujícího organizačního uspořádání </w:t>
      </w:r>
    </w:p>
    <w:p w:rsidR="00FC76ED" w:rsidRDefault="00FC76ED" w:rsidP="008F1F18">
      <w:pPr>
        <w:rPr>
          <w:rFonts w:ascii="Times New Roman" w:hAnsi="Times New Roman" w:cs="Times New Roman"/>
          <w:sz w:val="24"/>
          <w:szCs w:val="24"/>
        </w:rPr>
      </w:pPr>
      <w:r w:rsidRPr="008A68DA">
        <w:rPr>
          <w:rFonts w:cs="Times New Roman"/>
          <w:noProof/>
          <w:sz w:val="24"/>
          <w:szCs w:val="24"/>
          <w:lang w:eastAsia="cs-CZ"/>
        </w:rPr>
        <w:drawing>
          <wp:inline distT="0" distB="0" distL="0" distR="0" wp14:anchorId="2306E2D2" wp14:editId="5A384C0F">
            <wp:extent cx="5783283" cy="3610099"/>
            <wp:effectExtent l="76200" t="0" r="103505" b="0"/>
            <wp:docPr id="16" name="Diagram 1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F078F" w:rsidRDefault="000F078F" w:rsidP="000F078F">
      <w:pPr>
        <w:rPr>
          <w:rFonts w:ascii="Times New Roman" w:hAnsi="Times New Roman" w:cs="Times New Roman"/>
          <w:sz w:val="24"/>
          <w:szCs w:val="24"/>
          <w:highlight w:val="cyan"/>
        </w:rPr>
      </w:pPr>
    </w:p>
    <w:p w:rsidR="0064390D" w:rsidRDefault="0064390D" w:rsidP="000F078F">
      <w:pPr>
        <w:rPr>
          <w:rFonts w:ascii="Times New Roman" w:hAnsi="Times New Roman" w:cs="Times New Roman"/>
          <w:sz w:val="24"/>
          <w:szCs w:val="24"/>
          <w:highlight w:val="cyan"/>
        </w:rPr>
      </w:pPr>
    </w:p>
    <w:p w:rsidR="0064390D" w:rsidRDefault="0064390D" w:rsidP="000F078F">
      <w:pPr>
        <w:rPr>
          <w:rFonts w:ascii="Times New Roman" w:hAnsi="Times New Roman" w:cs="Times New Roman"/>
          <w:sz w:val="24"/>
          <w:szCs w:val="24"/>
          <w:highlight w:val="cyan"/>
        </w:rPr>
      </w:pPr>
    </w:p>
    <w:p w:rsidR="000F078F" w:rsidRDefault="000F078F" w:rsidP="000F078F">
      <w:pPr>
        <w:rPr>
          <w:rFonts w:ascii="Times New Roman" w:hAnsi="Times New Roman" w:cs="Times New Roman"/>
          <w:sz w:val="24"/>
          <w:szCs w:val="24"/>
        </w:rPr>
      </w:pPr>
      <w:r w:rsidRPr="000F078F">
        <w:rPr>
          <w:rFonts w:ascii="Times New Roman" w:hAnsi="Times New Roman" w:cs="Times New Roman"/>
          <w:sz w:val="24"/>
          <w:szCs w:val="24"/>
        </w:rPr>
        <w:t>Klí</w:t>
      </w:r>
      <w:r>
        <w:rPr>
          <w:rFonts w:ascii="Times New Roman" w:hAnsi="Times New Roman" w:cs="Times New Roman"/>
          <w:sz w:val="24"/>
          <w:szCs w:val="24"/>
        </w:rPr>
        <w:t>čové funkce (v předchozím organizačním diagramu červeně) vykonávají následující osoby</w:t>
      </w:r>
    </w:p>
    <w:p w:rsidR="00D7521E" w:rsidRDefault="00D7521E" w:rsidP="000F078F">
      <w:pPr>
        <w:rPr>
          <w:rFonts w:ascii="Times New Roman" w:hAnsi="Times New Roman" w:cs="Times New Roman"/>
          <w:sz w:val="24"/>
          <w:szCs w:val="24"/>
        </w:rPr>
      </w:pPr>
    </w:p>
    <w:tbl>
      <w:tblPr>
        <w:tblW w:w="5240" w:type="dxa"/>
        <w:jc w:val="center"/>
        <w:tblInd w:w="55" w:type="dxa"/>
        <w:tblCellMar>
          <w:left w:w="70" w:type="dxa"/>
          <w:right w:w="70" w:type="dxa"/>
        </w:tblCellMar>
        <w:tblLook w:val="04A0" w:firstRow="1" w:lastRow="0" w:firstColumn="1" w:lastColumn="0" w:noHBand="0" w:noVBand="1"/>
      </w:tblPr>
      <w:tblGrid>
        <w:gridCol w:w="2762"/>
        <w:gridCol w:w="2478"/>
      </w:tblGrid>
      <w:tr w:rsidR="00D7521E" w:rsidRPr="00B64301" w:rsidTr="00735CB1">
        <w:trPr>
          <w:trHeight w:val="300"/>
          <w:jc w:val="center"/>
        </w:trPr>
        <w:tc>
          <w:tcPr>
            <w:tcW w:w="276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7521E" w:rsidRPr="00B64301" w:rsidRDefault="00D7521E" w:rsidP="00735CB1">
            <w:pPr>
              <w:spacing w:after="0" w:line="240" w:lineRule="auto"/>
              <w:jc w:val="center"/>
              <w:rPr>
                <w:rFonts w:ascii="Arial" w:eastAsia="Times New Roman" w:hAnsi="Arial" w:cs="Arial"/>
                <w:b/>
                <w:bCs/>
                <w:color w:val="FFFFFF"/>
                <w:sz w:val="18"/>
                <w:szCs w:val="18"/>
                <w:lang w:eastAsia="cs-CZ"/>
              </w:rPr>
            </w:pPr>
            <w:r w:rsidRPr="00B64301">
              <w:rPr>
                <w:rFonts w:ascii="Arial" w:eastAsia="Times New Roman" w:hAnsi="Arial" w:cs="Arial"/>
                <w:b/>
                <w:bCs/>
                <w:color w:val="FFFFFF" w:themeColor="background1"/>
                <w:sz w:val="18"/>
                <w:szCs w:val="18"/>
                <w:lang w:eastAsia="cs-CZ"/>
              </w:rPr>
              <w:t>Klíčové funkce</w:t>
            </w:r>
          </w:p>
        </w:tc>
        <w:tc>
          <w:tcPr>
            <w:tcW w:w="2478" w:type="dxa"/>
            <w:tcBorders>
              <w:top w:val="single" w:sz="4" w:space="0" w:color="auto"/>
              <w:left w:val="nil"/>
              <w:bottom w:val="single" w:sz="4" w:space="0" w:color="auto"/>
              <w:right w:val="single" w:sz="4" w:space="0" w:color="auto"/>
            </w:tcBorders>
            <w:shd w:val="clear" w:color="000000" w:fill="92D050"/>
            <w:vAlign w:val="center"/>
            <w:hideMark/>
          </w:tcPr>
          <w:p w:rsidR="00D7521E" w:rsidRPr="00B64301" w:rsidRDefault="00D7521E" w:rsidP="00735CB1">
            <w:pPr>
              <w:spacing w:after="0" w:line="240" w:lineRule="auto"/>
              <w:jc w:val="center"/>
              <w:rPr>
                <w:rFonts w:ascii="Arial" w:eastAsia="Times New Roman" w:hAnsi="Arial" w:cs="Arial"/>
                <w:b/>
                <w:bCs/>
                <w:color w:val="FFFFFF"/>
                <w:sz w:val="18"/>
                <w:szCs w:val="18"/>
                <w:lang w:eastAsia="cs-CZ"/>
              </w:rPr>
            </w:pPr>
            <w:r w:rsidRPr="00B64301">
              <w:rPr>
                <w:rFonts w:ascii="Arial" w:eastAsia="Times New Roman" w:hAnsi="Arial" w:cs="Arial"/>
                <w:b/>
                <w:bCs/>
                <w:color w:val="FFFFFF" w:themeColor="background1"/>
                <w:sz w:val="18"/>
                <w:szCs w:val="18"/>
                <w:lang w:eastAsia="cs-CZ"/>
              </w:rPr>
              <w:t>Osoby</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Předseda představenstva</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JUDr.Ing. Ladislav Samohýl</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Člen</w:t>
            </w:r>
            <w:r w:rsidR="00D7521E">
              <w:rPr>
                <w:rFonts w:ascii="Arial" w:eastAsia="Times New Roman" w:hAnsi="Arial" w:cs="Arial"/>
                <w:color w:val="000000"/>
                <w:sz w:val="18"/>
                <w:szCs w:val="18"/>
                <w:lang w:eastAsia="cs-CZ"/>
              </w:rPr>
              <w:t xml:space="preserve"> představenstva</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Ing. Jiří Sukop</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Člen představenstva</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Martin Samohýl</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Předseda dozorčí rady</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Mgr. Helena Machálková</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Člen dozorčí rady</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Antonín Macháček</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Člen dozorčí rady</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Radmila Jašová</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Ředitel pojišťovny</w:t>
            </w:r>
          </w:p>
        </w:tc>
        <w:tc>
          <w:tcPr>
            <w:tcW w:w="2478" w:type="dxa"/>
            <w:tcBorders>
              <w:top w:val="nil"/>
              <w:left w:val="nil"/>
              <w:bottom w:val="single" w:sz="4" w:space="0" w:color="auto"/>
              <w:right w:val="single" w:sz="4" w:space="0" w:color="auto"/>
            </w:tcBorders>
            <w:shd w:val="clear" w:color="auto" w:fill="auto"/>
            <w:vAlign w:val="center"/>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Ing. Roman Dujíček</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hideMark/>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Rizikový manažer</w:t>
            </w:r>
          </w:p>
        </w:tc>
        <w:tc>
          <w:tcPr>
            <w:tcW w:w="2478" w:type="dxa"/>
            <w:tcBorders>
              <w:top w:val="nil"/>
              <w:left w:val="nil"/>
              <w:bottom w:val="single" w:sz="4" w:space="0" w:color="auto"/>
              <w:right w:val="single" w:sz="4" w:space="0" w:color="auto"/>
            </w:tcBorders>
            <w:shd w:val="clear" w:color="auto" w:fill="auto"/>
            <w:vAlign w:val="center"/>
            <w:hideMark/>
          </w:tcPr>
          <w:p w:rsidR="00D7521E" w:rsidRPr="00B64301" w:rsidRDefault="00D7521E" w:rsidP="00D7521E">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Ing. Renata Zeťková</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hideMark/>
          </w:tcPr>
          <w:p w:rsidR="00D7521E" w:rsidRPr="00B64301" w:rsidRDefault="00D7521E" w:rsidP="00735CB1">
            <w:pPr>
              <w:spacing w:after="0" w:line="240" w:lineRule="auto"/>
              <w:rPr>
                <w:rFonts w:ascii="Arial" w:eastAsia="Times New Roman" w:hAnsi="Arial" w:cs="Arial"/>
                <w:color w:val="000000"/>
                <w:sz w:val="18"/>
                <w:szCs w:val="18"/>
                <w:lang w:eastAsia="cs-CZ"/>
              </w:rPr>
            </w:pPr>
            <w:r w:rsidRPr="00B64301">
              <w:rPr>
                <w:rFonts w:ascii="Arial" w:eastAsia="Times New Roman" w:hAnsi="Arial" w:cs="Arial"/>
                <w:color w:val="000000"/>
                <w:sz w:val="18"/>
                <w:szCs w:val="18"/>
                <w:lang w:eastAsia="cs-CZ"/>
              </w:rPr>
              <w:t>Pojistn</w:t>
            </w:r>
            <w:r>
              <w:rPr>
                <w:rFonts w:ascii="Arial" w:eastAsia="Times New Roman" w:hAnsi="Arial" w:cs="Arial"/>
                <w:color w:val="000000"/>
                <w:sz w:val="18"/>
                <w:szCs w:val="18"/>
                <w:lang w:eastAsia="cs-CZ"/>
              </w:rPr>
              <w:t xml:space="preserve">ý </w:t>
            </w:r>
            <w:r w:rsidRPr="00B64301">
              <w:rPr>
                <w:rFonts w:ascii="Arial" w:eastAsia="Times New Roman" w:hAnsi="Arial" w:cs="Arial"/>
                <w:color w:val="000000"/>
                <w:sz w:val="18"/>
                <w:szCs w:val="18"/>
                <w:lang w:eastAsia="cs-CZ"/>
              </w:rPr>
              <w:t>matematik</w:t>
            </w:r>
          </w:p>
        </w:tc>
        <w:tc>
          <w:tcPr>
            <w:tcW w:w="2478" w:type="dxa"/>
            <w:tcBorders>
              <w:top w:val="nil"/>
              <w:left w:val="nil"/>
              <w:bottom w:val="single" w:sz="4" w:space="0" w:color="auto"/>
              <w:right w:val="single" w:sz="4" w:space="0" w:color="auto"/>
            </w:tcBorders>
            <w:shd w:val="clear" w:color="auto" w:fill="auto"/>
            <w:vAlign w:val="center"/>
            <w:hideMark/>
          </w:tcPr>
          <w:p w:rsidR="00D7521E" w:rsidRPr="00B64301" w:rsidRDefault="00D7521E" w:rsidP="00D7521E">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Mgr. Roman Drápal</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hideMark/>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Compliance manažer</w:t>
            </w:r>
          </w:p>
        </w:tc>
        <w:tc>
          <w:tcPr>
            <w:tcW w:w="2478" w:type="dxa"/>
            <w:tcBorders>
              <w:top w:val="nil"/>
              <w:left w:val="nil"/>
              <w:bottom w:val="single" w:sz="4" w:space="0" w:color="auto"/>
              <w:right w:val="single" w:sz="4" w:space="0" w:color="auto"/>
            </w:tcBorders>
            <w:shd w:val="clear" w:color="auto" w:fill="auto"/>
            <w:vAlign w:val="center"/>
            <w:hideMark/>
          </w:tcPr>
          <w:p w:rsidR="00D7521E" w:rsidRPr="00B64301" w:rsidRDefault="0018132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Mgr. Helena Machálková</w:t>
            </w:r>
          </w:p>
        </w:tc>
      </w:tr>
      <w:tr w:rsidR="00D7521E" w:rsidRPr="00B64301" w:rsidTr="00735CB1">
        <w:trPr>
          <w:trHeight w:val="300"/>
          <w:jc w:val="center"/>
        </w:trPr>
        <w:tc>
          <w:tcPr>
            <w:tcW w:w="2762" w:type="dxa"/>
            <w:tcBorders>
              <w:top w:val="nil"/>
              <w:left w:val="single" w:sz="4" w:space="0" w:color="auto"/>
              <w:bottom w:val="single" w:sz="4" w:space="0" w:color="auto"/>
              <w:right w:val="single" w:sz="4" w:space="0" w:color="auto"/>
            </w:tcBorders>
            <w:shd w:val="clear" w:color="auto" w:fill="auto"/>
            <w:vAlign w:val="center"/>
            <w:hideMark/>
          </w:tcPr>
          <w:p w:rsidR="00D7521E" w:rsidRPr="00B64301" w:rsidRDefault="00D7521E"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Interní auditor</w:t>
            </w:r>
          </w:p>
        </w:tc>
        <w:tc>
          <w:tcPr>
            <w:tcW w:w="2478" w:type="dxa"/>
            <w:tcBorders>
              <w:top w:val="nil"/>
              <w:left w:val="nil"/>
              <w:bottom w:val="single" w:sz="4" w:space="0" w:color="auto"/>
              <w:right w:val="single" w:sz="4" w:space="0" w:color="auto"/>
            </w:tcBorders>
            <w:shd w:val="clear" w:color="auto" w:fill="auto"/>
            <w:vAlign w:val="center"/>
            <w:hideMark/>
          </w:tcPr>
          <w:p w:rsidR="00D7521E" w:rsidRPr="00B64301" w:rsidRDefault="00BF7378" w:rsidP="00735CB1">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Kamila Boháčková</w:t>
            </w:r>
          </w:p>
        </w:tc>
      </w:tr>
    </w:tbl>
    <w:p w:rsidR="009832C4" w:rsidRDefault="009832C4" w:rsidP="00570F8B">
      <w:pPr>
        <w:rPr>
          <w:rFonts w:ascii="Times New Roman" w:hAnsi="Times New Roman" w:cs="Times New Roman"/>
          <w:b/>
          <w:sz w:val="28"/>
          <w:szCs w:val="28"/>
        </w:rPr>
      </w:pPr>
    </w:p>
    <w:p w:rsidR="00477DAA" w:rsidRDefault="00477DAA" w:rsidP="00570F8B">
      <w:pPr>
        <w:rPr>
          <w:rFonts w:ascii="Times New Roman" w:hAnsi="Times New Roman" w:cs="Times New Roman"/>
          <w:b/>
          <w:sz w:val="28"/>
          <w:szCs w:val="28"/>
        </w:rPr>
      </w:pPr>
    </w:p>
    <w:p w:rsidR="00570F8B" w:rsidRPr="00570F8B" w:rsidRDefault="00570F8B" w:rsidP="00570F8B">
      <w:pPr>
        <w:rPr>
          <w:rFonts w:ascii="Times New Roman" w:hAnsi="Times New Roman" w:cs="Times New Roman"/>
          <w:b/>
          <w:sz w:val="28"/>
          <w:szCs w:val="28"/>
        </w:rPr>
      </w:pPr>
      <w:r w:rsidRPr="00570F8B">
        <w:rPr>
          <w:rFonts w:ascii="Times New Roman" w:hAnsi="Times New Roman" w:cs="Times New Roman"/>
          <w:b/>
          <w:sz w:val="28"/>
          <w:szCs w:val="28"/>
        </w:rPr>
        <w:t>2.2</w:t>
      </w:r>
      <w:r w:rsidRPr="00570F8B">
        <w:rPr>
          <w:rFonts w:ascii="Times New Roman" w:hAnsi="Times New Roman" w:cs="Times New Roman"/>
          <w:b/>
          <w:sz w:val="28"/>
          <w:szCs w:val="28"/>
        </w:rPr>
        <w:tab/>
        <w:t>Požadavky na způsobilost a bezúhonnost</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Pojišťovna se řídí směrnicí, ve které jsou stanovena pravidla pro posuzování důvěryhodnosti a odborné způsobilosti a která je závazná pro všechny zaměstnance v pracovněprávním či jiném smluvním vztahu k Pojišťovně.</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Důvěryhodnost osoby spočívá v její bezúhonnosti a profesní a podnikatelské integritě.</w:t>
      </w:r>
    </w:p>
    <w:p w:rsidR="00524D91" w:rsidRPr="00524D91" w:rsidRDefault="00524D91" w:rsidP="00524D91">
      <w:pPr>
        <w:jc w:val="both"/>
        <w:rPr>
          <w:rFonts w:ascii="Times New Roman" w:hAnsi="Times New Roman" w:cs="Times New Roman"/>
          <w:sz w:val="24"/>
          <w:szCs w:val="24"/>
        </w:rPr>
      </w:pPr>
      <w:r w:rsidRPr="00524D91">
        <w:rPr>
          <w:rFonts w:ascii="Times New Roman" w:hAnsi="Times New Roman" w:cs="Times New Roman"/>
          <w:sz w:val="24"/>
          <w:szCs w:val="24"/>
        </w:rPr>
        <w:t>Za bezúhonnou považuje Společnost osobu bez záznamu v rejstříku trestů a vůči které není vedeno probíhající trestní stíhání.</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Dále může být za bezúhonnou považována i osoba, která byla pravomocně odsouzena, nebo u které bylo zahájeno trestní stíhání a toto stíhání stále trvá, za trestný čin spáchaný z nedbalosti s výjimkou trestných činů proti majetku a hospodářských trestných činů. V takových případech jsou vždy individuálně posuzovány důvody a okolnosti, za kterých došlo k výše uvedeným skutečnostem.</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Společnost považuje zkoumanou osobu za nedůvěryhodnou v případě závažných přestupků proti profesní integritě, tyto jsou upraveny směrnicí Společnosti (Způsobilost a důvěryhodnost).</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Bezúhonnost prokazuje osoba při nástupu do funkce výpisem z rejstříku trestů a čestným prohlášením o probíhajících trestních řízeních. Profesní integritu osoba prokazuje před nástupem do funkce čestným prohlášením.</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V případě volených funkcí, doloží ten, kdo osobu do funkce navrhuje, že tato osoba splňuje požadavky na bezúhonnost dané směrnicí Společnosti (Způsobilost a důvěryhodnost).</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V průběhu trvání funkce je osoba povinna bez zbytečného odkladu informovat Pojišťovnu, pokud je u ní zahájeno jakékoli trestní stíhání nebo nastala / existuje důvodné podezření, že by mohla nastat některá ze skutečností odpovídající závažným přestupkům proti profesní integritě.</w:t>
      </w: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Odborná způsobilost osoby zohledňuje prokazatelné znalosti (vzdělání), zkušenosti na finančním trhu, manažerské zkušenosti a také předchozí působení na finančních trzích.</w:t>
      </w:r>
    </w:p>
    <w:p w:rsidR="00524D91" w:rsidRPr="00524D91" w:rsidRDefault="00524D91" w:rsidP="00524D91">
      <w:pPr>
        <w:jc w:val="both"/>
        <w:rPr>
          <w:rFonts w:ascii="Times New Roman" w:hAnsi="Times New Roman" w:cs="Times New Roman"/>
          <w:sz w:val="24"/>
          <w:szCs w:val="24"/>
        </w:rPr>
      </w:pPr>
      <w:r w:rsidRPr="00524D91">
        <w:rPr>
          <w:rFonts w:ascii="Times New Roman" w:hAnsi="Times New Roman" w:cs="Times New Roman"/>
          <w:sz w:val="24"/>
          <w:szCs w:val="24"/>
        </w:rPr>
        <w:t>Členové statutárního orgánu musí navíc společně disponovat prokazatelnými znalostmi přinejmenším v oblasti:</w:t>
      </w:r>
    </w:p>
    <w:p w:rsidR="00524D91" w:rsidRPr="00524D91" w:rsidRDefault="00524D91" w:rsidP="003F4A6C">
      <w:pPr>
        <w:pStyle w:val="Odstavecseseznamem"/>
        <w:numPr>
          <w:ilvl w:val="0"/>
          <w:numId w:val="2"/>
        </w:numPr>
        <w:jc w:val="both"/>
        <w:rPr>
          <w:rFonts w:ascii="Times New Roman" w:hAnsi="Times New Roman" w:cs="Times New Roman"/>
          <w:sz w:val="24"/>
          <w:szCs w:val="24"/>
        </w:rPr>
      </w:pPr>
      <w:r w:rsidRPr="00524D91">
        <w:rPr>
          <w:rFonts w:ascii="Times New Roman" w:hAnsi="Times New Roman" w:cs="Times New Roman"/>
          <w:sz w:val="24"/>
          <w:szCs w:val="24"/>
        </w:rPr>
        <w:t>Pojistných a finančních trhů,</w:t>
      </w:r>
    </w:p>
    <w:p w:rsidR="00524D91" w:rsidRPr="00524D91" w:rsidRDefault="00524D91" w:rsidP="003F4A6C">
      <w:pPr>
        <w:pStyle w:val="Odstavecseseznamem"/>
        <w:numPr>
          <w:ilvl w:val="0"/>
          <w:numId w:val="2"/>
        </w:numPr>
        <w:jc w:val="both"/>
        <w:rPr>
          <w:rFonts w:ascii="Times New Roman" w:hAnsi="Times New Roman" w:cs="Times New Roman"/>
          <w:sz w:val="24"/>
          <w:szCs w:val="24"/>
        </w:rPr>
      </w:pPr>
      <w:r w:rsidRPr="00524D91">
        <w:rPr>
          <w:rFonts w:ascii="Times New Roman" w:hAnsi="Times New Roman" w:cs="Times New Roman"/>
          <w:sz w:val="24"/>
          <w:szCs w:val="24"/>
        </w:rPr>
        <w:t>Obchodní strategie a obchodního modelu,</w:t>
      </w:r>
    </w:p>
    <w:p w:rsidR="00524D91" w:rsidRPr="00524D91" w:rsidRDefault="00524D91" w:rsidP="003F4A6C">
      <w:pPr>
        <w:pStyle w:val="Odstavecseseznamem"/>
        <w:numPr>
          <w:ilvl w:val="0"/>
          <w:numId w:val="2"/>
        </w:numPr>
        <w:jc w:val="both"/>
        <w:rPr>
          <w:rFonts w:ascii="Times New Roman" w:hAnsi="Times New Roman" w:cs="Times New Roman"/>
          <w:sz w:val="24"/>
          <w:szCs w:val="24"/>
        </w:rPr>
      </w:pPr>
      <w:r w:rsidRPr="00524D91">
        <w:rPr>
          <w:rFonts w:ascii="Times New Roman" w:hAnsi="Times New Roman" w:cs="Times New Roman"/>
          <w:sz w:val="24"/>
          <w:szCs w:val="24"/>
        </w:rPr>
        <w:t>Řídicího a kontrolního systému,</w:t>
      </w:r>
    </w:p>
    <w:p w:rsidR="00524D91" w:rsidRPr="00524D91" w:rsidRDefault="00524D91" w:rsidP="003F4A6C">
      <w:pPr>
        <w:pStyle w:val="Odstavecseseznamem"/>
        <w:numPr>
          <w:ilvl w:val="0"/>
          <w:numId w:val="2"/>
        </w:numPr>
        <w:jc w:val="both"/>
        <w:rPr>
          <w:rFonts w:ascii="Times New Roman" w:hAnsi="Times New Roman" w:cs="Times New Roman"/>
          <w:sz w:val="24"/>
          <w:szCs w:val="24"/>
        </w:rPr>
      </w:pPr>
      <w:r w:rsidRPr="00524D91">
        <w:rPr>
          <w:rFonts w:ascii="Times New Roman" w:hAnsi="Times New Roman" w:cs="Times New Roman"/>
          <w:sz w:val="24"/>
          <w:szCs w:val="24"/>
        </w:rPr>
        <w:t>Finanční a pojistně-matematické analýzy,</w:t>
      </w:r>
    </w:p>
    <w:p w:rsidR="00524D91" w:rsidRPr="00524D91" w:rsidRDefault="00524D91" w:rsidP="003F4A6C">
      <w:pPr>
        <w:pStyle w:val="Odstavecseseznamem"/>
        <w:numPr>
          <w:ilvl w:val="0"/>
          <w:numId w:val="2"/>
        </w:numPr>
        <w:jc w:val="both"/>
        <w:rPr>
          <w:rFonts w:ascii="Times New Roman" w:hAnsi="Times New Roman" w:cs="Times New Roman"/>
          <w:sz w:val="24"/>
          <w:szCs w:val="24"/>
        </w:rPr>
      </w:pPr>
      <w:r w:rsidRPr="00524D91">
        <w:rPr>
          <w:rFonts w:ascii="Times New Roman" w:hAnsi="Times New Roman" w:cs="Times New Roman"/>
          <w:sz w:val="24"/>
          <w:szCs w:val="24"/>
        </w:rPr>
        <w:t>Regulačního rámce a regulatorních požadavků.</w:t>
      </w:r>
    </w:p>
    <w:p w:rsidR="00524D91" w:rsidRDefault="00524D91" w:rsidP="00524D91">
      <w:pPr>
        <w:jc w:val="both"/>
        <w:rPr>
          <w:rFonts w:ascii="Times New Roman" w:hAnsi="Times New Roman" w:cs="Times New Roman"/>
          <w:sz w:val="24"/>
          <w:szCs w:val="24"/>
        </w:rPr>
      </w:pPr>
      <w:r w:rsidRPr="00524D91">
        <w:rPr>
          <w:rFonts w:ascii="Times New Roman" w:hAnsi="Times New Roman" w:cs="Times New Roman"/>
          <w:sz w:val="24"/>
          <w:szCs w:val="24"/>
        </w:rPr>
        <w:t>Osoba, která Pojišťovnu skutečně řídí, nebo pro ni vykonává jinou klíčovou funkci, prokazuje svoji odbornou způsobilost při nástupu do funkce:</w:t>
      </w:r>
    </w:p>
    <w:p w:rsidR="00524D91" w:rsidRPr="00524D91" w:rsidRDefault="00524D91" w:rsidP="003F4A6C">
      <w:pPr>
        <w:pStyle w:val="Odstavecseseznamem"/>
        <w:numPr>
          <w:ilvl w:val="0"/>
          <w:numId w:val="3"/>
        </w:numPr>
        <w:jc w:val="both"/>
        <w:rPr>
          <w:rFonts w:ascii="Times New Roman" w:hAnsi="Times New Roman" w:cs="Times New Roman"/>
          <w:sz w:val="24"/>
          <w:szCs w:val="24"/>
        </w:rPr>
      </w:pPr>
      <w:r w:rsidRPr="00524D91">
        <w:rPr>
          <w:rFonts w:ascii="Times New Roman" w:hAnsi="Times New Roman" w:cs="Times New Roman"/>
          <w:sz w:val="24"/>
          <w:szCs w:val="24"/>
        </w:rPr>
        <w:t>Kopiemi listin (pokud to jejich povaha nevylučuje), které prokazují dosažené vzdělání, certifikáty o absolvovaných odborných seminářích, školeních apod.</w:t>
      </w:r>
    </w:p>
    <w:p w:rsidR="00524D91" w:rsidRPr="00524D91" w:rsidRDefault="00524D91" w:rsidP="003F4A6C">
      <w:pPr>
        <w:pStyle w:val="Odstavecseseznamem"/>
        <w:numPr>
          <w:ilvl w:val="0"/>
          <w:numId w:val="3"/>
        </w:numPr>
        <w:jc w:val="both"/>
        <w:rPr>
          <w:rFonts w:ascii="Times New Roman" w:hAnsi="Times New Roman" w:cs="Times New Roman"/>
          <w:sz w:val="24"/>
          <w:szCs w:val="24"/>
        </w:rPr>
      </w:pPr>
      <w:r w:rsidRPr="00524D91">
        <w:rPr>
          <w:rFonts w:ascii="Times New Roman" w:hAnsi="Times New Roman" w:cs="Times New Roman"/>
          <w:sz w:val="24"/>
          <w:szCs w:val="24"/>
        </w:rPr>
        <w:t>Čestným prohlášením o dosavadních zkušenostech, jehož součástí je profesní strukturovaný životopis, který obsahuje alespoň:</w:t>
      </w:r>
    </w:p>
    <w:p w:rsidR="00524D91" w:rsidRPr="00524D91" w:rsidRDefault="00524D91" w:rsidP="003F4A6C">
      <w:pPr>
        <w:pStyle w:val="Odstavecseseznamem"/>
        <w:numPr>
          <w:ilvl w:val="1"/>
          <w:numId w:val="4"/>
        </w:numPr>
        <w:jc w:val="both"/>
        <w:rPr>
          <w:rFonts w:ascii="Times New Roman" w:hAnsi="Times New Roman" w:cs="Times New Roman"/>
          <w:sz w:val="24"/>
          <w:szCs w:val="24"/>
        </w:rPr>
      </w:pPr>
      <w:r w:rsidRPr="00524D91">
        <w:rPr>
          <w:rFonts w:ascii="Times New Roman" w:hAnsi="Times New Roman" w:cs="Times New Roman"/>
          <w:sz w:val="24"/>
          <w:szCs w:val="24"/>
        </w:rPr>
        <w:t>Označení osoby, u které byla odborná praxe vykonávána a obor její činnosti</w:t>
      </w:r>
    </w:p>
    <w:p w:rsidR="00524D91" w:rsidRPr="00524D91" w:rsidRDefault="00524D91" w:rsidP="003F4A6C">
      <w:pPr>
        <w:pStyle w:val="Odstavecseseznamem"/>
        <w:numPr>
          <w:ilvl w:val="1"/>
          <w:numId w:val="4"/>
        </w:numPr>
        <w:jc w:val="both"/>
        <w:rPr>
          <w:rFonts w:ascii="Times New Roman" w:hAnsi="Times New Roman" w:cs="Times New Roman"/>
          <w:sz w:val="24"/>
          <w:szCs w:val="24"/>
        </w:rPr>
      </w:pPr>
      <w:r w:rsidRPr="00524D91">
        <w:rPr>
          <w:rFonts w:ascii="Times New Roman" w:hAnsi="Times New Roman" w:cs="Times New Roman"/>
          <w:sz w:val="24"/>
          <w:szCs w:val="24"/>
        </w:rPr>
        <w:t>Název funkce / pracovního zařazení a popis vykonávané činnosti</w:t>
      </w:r>
    </w:p>
    <w:p w:rsidR="00524D91" w:rsidRPr="00524D91" w:rsidRDefault="00524D91" w:rsidP="003F4A6C">
      <w:pPr>
        <w:pStyle w:val="Odstavecseseznamem"/>
        <w:numPr>
          <w:ilvl w:val="1"/>
          <w:numId w:val="4"/>
        </w:numPr>
        <w:jc w:val="both"/>
        <w:rPr>
          <w:rFonts w:ascii="Times New Roman" w:hAnsi="Times New Roman" w:cs="Times New Roman"/>
          <w:sz w:val="24"/>
          <w:szCs w:val="24"/>
        </w:rPr>
      </w:pPr>
      <w:r w:rsidRPr="00524D91">
        <w:rPr>
          <w:rFonts w:ascii="Times New Roman" w:hAnsi="Times New Roman" w:cs="Times New Roman"/>
          <w:sz w:val="24"/>
          <w:szCs w:val="24"/>
        </w:rPr>
        <w:t>Dobu, po kterou byla činnost vykonávána</w:t>
      </w:r>
    </w:p>
    <w:p w:rsidR="00524D91" w:rsidRPr="00524D91" w:rsidRDefault="00524D91" w:rsidP="003F4A6C">
      <w:pPr>
        <w:pStyle w:val="Odstavecseseznamem"/>
        <w:numPr>
          <w:ilvl w:val="0"/>
          <w:numId w:val="3"/>
        </w:numPr>
        <w:autoSpaceDE w:val="0"/>
        <w:autoSpaceDN w:val="0"/>
        <w:adjustRightInd w:val="0"/>
        <w:spacing w:after="0" w:line="240" w:lineRule="auto"/>
        <w:jc w:val="both"/>
        <w:rPr>
          <w:rFonts w:ascii="Times New Roman" w:hAnsi="Times New Roman" w:cs="Times New Roman"/>
          <w:sz w:val="24"/>
          <w:szCs w:val="24"/>
        </w:rPr>
      </w:pPr>
      <w:r w:rsidRPr="00524D91">
        <w:rPr>
          <w:rFonts w:ascii="Times New Roman" w:hAnsi="Times New Roman" w:cs="Times New Roman"/>
          <w:sz w:val="24"/>
          <w:szCs w:val="24"/>
        </w:rPr>
        <w:t>Kopiemi listin (pokud to jejich povaha nevylučuje), které prokazují členství v profesním sdružení, komoře, nebo asociaci poskytovatelů služeb.</w:t>
      </w:r>
    </w:p>
    <w:p w:rsidR="00524D91" w:rsidRDefault="00524D91" w:rsidP="00524D91">
      <w:pPr>
        <w:autoSpaceDE w:val="0"/>
        <w:autoSpaceDN w:val="0"/>
        <w:adjustRightInd w:val="0"/>
        <w:jc w:val="both"/>
        <w:rPr>
          <w:rFonts w:ascii="Times New Roman" w:hAnsi="Times New Roman" w:cs="Times New Roman"/>
          <w:sz w:val="24"/>
          <w:szCs w:val="24"/>
        </w:rPr>
      </w:pPr>
    </w:p>
    <w:p w:rsidR="00524D91" w:rsidRPr="00524D91" w:rsidRDefault="00524D91" w:rsidP="00524D91">
      <w:pPr>
        <w:autoSpaceDE w:val="0"/>
        <w:autoSpaceDN w:val="0"/>
        <w:adjustRightInd w:val="0"/>
        <w:jc w:val="both"/>
        <w:rPr>
          <w:rFonts w:ascii="Times New Roman" w:hAnsi="Times New Roman" w:cs="Times New Roman"/>
          <w:sz w:val="24"/>
          <w:szCs w:val="24"/>
        </w:rPr>
      </w:pPr>
      <w:r w:rsidRPr="00524D91">
        <w:rPr>
          <w:rFonts w:ascii="Times New Roman" w:hAnsi="Times New Roman" w:cs="Times New Roman"/>
          <w:sz w:val="24"/>
          <w:szCs w:val="24"/>
        </w:rPr>
        <w:t>V případě volených funkcí, doloží ten, kdo osobu do funkce navrhuje, že tato osoba splňuje požadavky na odbornou způsobilost dané touto směrnicí.</w:t>
      </w:r>
    </w:p>
    <w:p w:rsidR="00FC76ED" w:rsidRDefault="00FC76ED" w:rsidP="00CD0E53">
      <w:pPr>
        <w:rPr>
          <w:rFonts w:ascii="Times New Roman" w:hAnsi="Times New Roman" w:cs="Times New Roman"/>
          <w:b/>
          <w:sz w:val="28"/>
          <w:szCs w:val="28"/>
        </w:rPr>
      </w:pPr>
    </w:p>
    <w:p w:rsidR="00CD0E53" w:rsidRPr="00CD0E53" w:rsidRDefault="00CD0E53" w:rsidP="00CD0E53">
      <w:pPr>
        <w:rPr>
          <w:rFonts w:ascii="Times New Roman" w:hAnsi="Times New Roman" w:cs="Times New Roman"/>
          <w:b/>
          <w:sz w:val="28"/>
          <w:szCs w:val="28"/>
        </w:rPr>
      </w:pPr>
      <w:r w:rsidRPr="00CD0E53">
        <w:rPr>
          <w:rFonts w:ascii="Times New Roman" w:hAnsi="Times New Roman" w:cs="Times New Roman"/>
          <w:b/>
          <w:sz w:val="28"/>
          <w:szCs w:val="28"/>
        </w:rPr>
        <w:t>2.3</w:t>
      </w:r>
      <w:r w:rsidRPr="00CD0E53">
        <w:rPr>
          <w:rFonts w:ascii="Times New Roman" w:hAnsi="Times New Roman" w:cs="Times New Roman"/>
          <w:b/>
          <w:sz w:val="28"/>
          <w:szCs w:val="28"/>
        </w:rPr>
        <w:tab/>
        <w:t>Systém řízení rizik</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Účelem oblasti řízení rizik je:</w:t>
      </w:r>
    </w:p>
    <w:p w:rsidR="00BC7525" w:rsidRPr="00BC7525" w:rsidRDefault="00BC7525" w:rsidP="003F4A6C">
      <w:pPr>
        <w:pStyle w:val="Odstavecseseznamem"/>
        <w:numPr>
          <w:ilvl w:val="0"/>
          <w:numId w:val="5"/>
        </w:numPr>
        <w:autoSpaceDE w:val="0"/>
        <w:autoSpaceDN w:val="0"/>
        <w:adjustRightInd w:val="0"/>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Identifikace významných rizik a jejich pravidelné monitorování, analýza a kvantifikace.</w:t>
      </w:r>
    </w:p>
    <w:p w:rsidR="00BC7525" w:rsidRPr="00BC7525" w:rsidRDefault="00BC7525" w:rsidP="003F4A6C">
      <w:pPr>
        <w:pStyle w:val="Odstavecseseznamem"/>
        <w:numPr>
          <w:ilvl w:val="0"/>
          <w:numId w:val="5"/>
        </w:numPr>
        <w:autoSpaceDE w:val="0"/>
        <w:autoSpaceDN w:val="0"/>
        <w:adjustRightInd w:val="0"/>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Omezení dopadu jednotlivých rizik na dosažení cílů Společnosti  s ohledem na náklady spojené s omezením daného negativního vlivu.</w:t>
      </w:r>
    </w:p>
    <w:p w:rsidR="00BC7525" w:rsidRPr="00BC7525" w:rsidRDefault="00BC7525" w:rsidP="003F4A6C">
      <w:pPr>
        <w:pStyle w:val="Odstavecseseznamem"/>
        <w:numPr>
          <w:ilvl w:val="0"/>
          <w:numId w:val="5"/>
        </w:numPr>
        <w:autoSpaceDE w:val="0"/>
        <w:autoSpaceDN w:val="0"/>
        <w:adjustRightInd w:val="0"/>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Výběr méně rizikové varianty z různých alternativ se stejným očekávaným dopadem na hodnotu pro akcionáře.</w:t>
      </w:r>
    </w:p>
    <w:p w:rsidR="00BC7525" w:rsidRPr="00BC7525" w:rsidRDefault="00BC7525" w:rsidP="003F4A6C">
      <w:pPr>
        <w:pStyle w:val="Odstavecseseznamem"/>
        <w:numPr>
          <w:ilvl w:val="0"/>
          <w:numId w:val="5"/>
        </w:numPr>
        <w:autoSpaceDE w:val="0"/>
        <w:autoSpaceDN w:val="0"/>
        <w:adjustRightInd w:val="0"/>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Zvyšování hodnoty pro akcionáře při podstupování akceptovatelného rizika pro akcionáře.</w:t>
      </w:r>
    </w:p>
    <w:p w:rsidR="00BC7525" w:rsidRPr="00BC7525" w:rsidRDefault="00BC7525" w:rsidP="003F4A6C">
      <w:pPr>
        <w:pStyle w:val="Odstavecseseznamem"/>
        <w:numPr>
          <w:ilvl w:val="0"/>
          <w:numId w:val="5"/>
        </w:numPr>
        <w:autoSpaceDE w:val="0"/>
        <w:autoSpaceDN w:val="0"/>
        <w:adjustRightInd w:val="0"/>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Vývoj a implementace „Integrovaného systému řízení rizik“, který zajistí, že všechny útvary Společnosti nebo majitelé procesů podstupují pouze akceptovatelné riziko</w:t>
      </w:r>
      <w:r w:rsidRPr="00BC7525">
        <w:rPr>
          <w:rFonts w:ascii="Times New Roman" w:hAnsi="Times New Roman" w:cs="Times New Roman"/>
          <w:i/>
          <w:sz w:val="24"/>
          <w:szCs w:val="24"/>
        </w:rPr>
        <w:t>.</w:t>
      </w:r>
    </w:p>
    <w:p w:rsidR="00BC7525" w:rsidRPr="00BC7525" w:rsidRDefault="00BC7525" w:rsidP="00BC7525">
      <w:pPr>
        <w:autoSpaceDE w:val="0"/>
        <w:autoSpaceDN w:val="0"/>
        <w:adjustRightInd w:val="0"/>
        <w:rPr>
          <w:rFonts w:ascii="Times New Roman" w:hAnsi="Times New Roman" w:cs="Times New Roman"/>
          <w:sz w:val="24"/>
          <w:szCs w:val="24"/>
        </w:rPr>
      </w:pPr>
    </w:p>
    <w:p w:rsidR="00BC7525" w:rsidRDefault="00BC7525" w:rsidP="00BC7525">
      <w:pPr>
        <w:autoSpaceDE w:val="0"/>
        <w:autoSpaceDN w:val="0"/>
        <w:adjustRightInd w:val="0"/>
        <w:jc w:val="both"/>
        <w:rPr>
          <w:rFonts w:ascii="Times New Roman" w:hAnsi="Times New Roman" w:cs="Times New Roman"/>
          <w:sz w:val="24"/>
          <w:szCs w:val="24"/>
        </w:rPr>
      </w:pPr>
      <w:r w:rsidRPr="00BC7525">
        <w:rPr>
          <w:rFonts w:ascii="Times New Roman" w:hAnsi="Times New Roman" w:cs="Times New Roman"/>
          <w:sz w:val="24"/>
          <w:szCs w:val="24"/>
        </w:rPr>
        <w:t>Představenstvo nese konečnou odpovědnost za řízení rizik Pojišťovny. Rozhoduje o implementaci jednotlivých strategií řízení rizik a řídí Pojišťovnu v souladu s těmito strategiemi. S podporou určených útvarů monitoruje trh ve vazbě na nová nebo měnící se ekonomická, politická nebo ostatní rizika a realizuje protiopatření.</w:t>
      </w:r>
    </w:p>
    <w:p w:rsidR="00BC7525" w:rsidRPr="00BC7525" w:rsidRDefault="00BC7525" w:rsidP="00BC7525">
      <w:pPr>
        <w:autoSpaceDE w:val="0"/>
        <w:autoSpaceDN w:val="0"/>
        <w:adjustRightInd w:val="0"/>
        <w:spacing w:after="120"/>
        <w:jc w:val="both"/>
        <w:rPr>
          <w:rFonts w:ascii="Times New Roman" w:hAnsi="Times New Roman" w:cs="Times New Roman"/>
          <w:b/>
          <w:sz w:val="24"/>
          <w:szCs w:val="24"/>
        </w:rPr>
      </w:pPr>
      <w:r w:rsidRPr="00BC7525">
        <w:rPr>
          <w:rFonts w:ascii="Times New Roman" w:hAnsi="Times New Roman" w:cs="Times New Roman"/>
          <w:b/>
          <w:sz w:val="24"/>
          <w:szCs w:val="24"/>
        </w:rPr>
        <w:t>1. linie obrany</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První linie obrany je odpovědná za vlastnictví a řízení rizik při každodenní činnosti. Jedná se o zaměstnance jednotlivých útvarů, kteří odpovídají zejména za:</w:t>
      </w:r>
    </w:p>
    <w:p w:rsidR="00BC7525" w:rsidRPr="00BC7525" w:rsidRDefault="00BC7525" w:rsidP="003F4A6C">
      <w:pPr>
        <w:pStyle w:val="Odstavecseseznamem"/>
        <w:numPr>
          <w:ilvl w:val="0"/>
          <w:numId w:val="6"/>
        </w:numPr>
        <w:spacing w:after="120" w:line="240" w:lineRule="auto"/>
        <w:jc w:val="both"/>
        <w:rPr>
          <w:rFonts w:ascii="Times New Roman" w:hAnsi="Times New Roman" w:cs="Times New Roman"/>
          <w:sz w:val="24"/>
          <w:szCs w:val="24"/>
        </w:rPr>
      </w:pPr>
      <w:r w:rsidRPr="00BC7525">
        <w:rPr>
          <w:rFonts w:ascii="Times New Roman" w:hAnsi="Times New Roman" w:cs="Times New Roman"/>
          <w:sz w:val="24"/>
          <w:szCs w:val="24"/>
        </w:rPr>
        <w:t>pravidelnou identifikaci, hodnocení, řízení, monitoring a reporting,</w:t>
      </w:r>
    </w:p>
    <w:p w:rsidR="00BC7525" w:rsidRPr="00BC7525" w:rsidRDefault="00BC7525" w:rsidP="003F4A6C">
      <w:pPr>
        <w:pStyle w:val="Odstavecseseznamem"/>
        <w:numPr>
          <w:ilvl w:val="1"/>
          <w:numId w:val="7"/>
        </w:numPr>
        <w:spacing w:after="120" w:line="240" w:lineRule="auto"/>
        <w:jc w:val="both"/>
        <w:rPr>
          <w:rFonts w:ascii="Times New Roman" w:hAnsi="Times New Roman" w:cs="Times New Roman"/>
          <w:sz w:val="24"/>
          <w:szCs w:val="24"/>
        </w:rPr>
      </w:pPr>
      <w:r w:rsidRPr="00BC7525">
        <w:rPr>
          <w:rFonts w:ascii="Times New Roman" w:hAnsi="Times New Roman" w:cs="Times New Roman"/>
          <w:sz w:val="24"/>
          <w:szCs w:val="24"/>
        </w:rPr>
        <w:t xml:space="preserve">přijímání rizika v rámci rizikového apetitu (vlastníci rizika), </w:t>
      </w:r>
    </w:p>
    <w:p w:rsidR="00BC7525" w:rsidRPr="00BC7525" w:rsidRDefault="00BC7525" w:rsidP="003F4A6C">
      <w:pPr>
        <w:pStyle w:val="Odstavecseseznamem"/>
        <w:numPr>
          <w:ilvl w:val="1"/>
          <w:numId w:val="7"/>
        </w:numPr>
        <w:spacing w:after="120" w:line="240" w:lineRule="auto"/>
        <w:jc w:val="both"/>
        <w:rPr>
          <w:rFonts w:ascii="Times New Roman" w:hAnsi="Times New Roman" w:cs="Times New Roman"/>
          <w:sz w:val="24"/>
          <w:szCs w:val="24"/>
        </w:rPr>
      </w:pPr>
      <w:r w:rsidRPr="00BC7525">
        <w:rPr>
          <w:rFonts w:ascii="Times New Roman" w:hAnsi="Times New Roman" w:cs="Times New Roman"/>
          <w:sz w:val="24"/>
          <w:szCs w:val="24"/>
        </w:rPr>
        <w:t>nastavení kontrol do systémů a procesů tak, aby zajistili kontinuální compliance s rizikovým apetitem (vlastníci kontrol),</w:t>
      </w:r>
    </w:p>
    <w:p w:rsidR="00BC7525" w:rsidRPr="00BC7525" w:rsidRDefault="00BC7525" w:rsidP="003F4A6C">
      <w:pPr>
        <w:pStyle w:val="Odstavecseseznamem"/>
        <w:numPr>
          <w:ilvl w:val="1"/>
          <w:numId w:val="7"/>
        </w:numPr>
        <w:spacing w:after="120" w:line="240" w:lineRule="auto"/>
        <w:jc w:val="both"/>
        <w:rPr>
          <w:rFonts w:ascii="Times New Roman" w:hAnsi="Times New Roman" w:cs="Times New Roman"/>
          <w:sz w:val="24"/>
          <w:szCs w:val="24"/>
        </w:rPr>
      </w:pPr>
      <w:r w:rsidRPr="00BC7525">
        <w:rPr>
          <w:rFonts w:ascii="Times New Roman" w:hAnsi="Times New Roman" w:cs="Times New Roman"/>
          <w:sz w:val="24"/>
          <w:szCs w:val="24"/>
        </w:rPr>
        <w:t>monitoring selhání kontrol, nedostatečnosti procesu a neočekávaných událostí,</w:t>
      </w:r>
    </w:p>
    <w:p w:rsidR="00BC7525" w:rsidRPr="00BC7525" w:rsidRDefault="00BC7525" w:rsidP="003F4A6C">
      <w:pPr>
        <w:pStyle w:val="Odstavecseseznamem"/>
        <w:numPr>
          <w:ilvl w:val="1"/>
          <w:numId w:val="7"/>
        </w:numPr>
        <w:spacing w:after="120" w:line="240" w:lineRule="auto"/>
        <w:jc w:val="both"/>
        <w:rPr>
          <w:rFonts w:ascii="Times New Roman" w:hAnsi="Times New Roman" w:cs="Times New Roman"/>
          <w:sz w:val="24"/>
          <w:szCs w:val="24"/>
        </w:rPr>
      </w:pPr>
      <w:r w:rsidRPr="00BC7525">
        <w:rPr>
          <w:rFonts w:ascii="Times New Roman" w:hAnsi="Times New Roman" w:cs="Times New Roman"/>
          <w:sz w:val="24"/>
          <w:szCs w:val="24"/>
        </w:rPr>
        <w:t xml:space="preserve">nastavení procesu eskalace rizik </w:t>
      </w:r>
    </w:p>
    <w:p w:rsidR="00D7521E" w:rsidRDefault="00D7521E" w:rsidP="00BC7525">
      <w:pPr>
        <w:autoSpaceDE w:val="0"/>
        <w:autoSpaceDN w:val="0"/>
        <w:adjustRightInd w:val="0"/>
        <w:spacing w:after="120"/>
        <w:jc w:val="both"/>
        <w:rPr>
          <w:rFonts w:ascii="Times New Roman" w:hAnsi="Times New Roman" w:cs="Times New Roman"/>
          <w:b/>
          <w:sz w:val="24"/>
          <w:szCs w:val="24"/>
        </w:rPr>
      </w:pPr>
      <w:bookmarkStart w:id="1" w:name="_Toc418694392"/>
      <w:bookmarkStart w:id="2" w:name="_Toc418754266"/>
      <w:bookmarkStart w:id="3" w:name="_Toc418781352"/>
      <w:bookmarkStart w:id="4" w:name="_Toc419113199"/>
      <w:bookmarkStart w:id="5" w:name="_Toc420423826"/>
      <w:bookmarkStart w:id="6" w:name="_Toc458666824"/>
      <w:bookmarkStart w:id="7" w:name="_Toc459107624"/>
      <w:bookmarkEnd w:id="1"/>
      <w:bookmarkEnd w:id="2"/>
      <w:bookmarkEnd w:id="3"/>
      <w:bookmarkEnd w:id="4"/>
    </w:p>
    <w:p w:rsidR="00D7521E" w:rsidRDefault="00D7521E" w:rsidP="00BC7525">
      <w:pPr>
        <w:autoSpaceDE w:val="0"/>
        <w:autoSpaceDN w:val="0"/>
        <w:adjustRightInd w:val="0"/>
        <w:spacing w:after="120"/>
        <w:jc w:val="both"/>
        <w:rPr>
          <w:rFonts w:ascii="Times New Roman" w:hAnsi="Times New Roman" w:cs="Times New Roman"/>
          <w:b/>
          <w:sz w:val="24"/>
          <w:szCs w:val="24"/>
        </w:rPr>
      </w:pPr>
    </w:p>
    <w:p w:rsidR="00BC7525" w:rsidRPr="00BC7525" w:rsidRDefault="00BC7525" w:rsidP="00BC7525">
      <w:pPr>
        <w:autoSpaceDE w:val="0"/>
        <w:autoSpaceDN w:val="0"/>
        <w:adjustRightInd w:val="0"/>
        <w:spacing w:after="120"/>
        <w:jc w:val="both"/>
        <w:rPr>
          <w:rFonts w:ascii="Times New Roman" w:hAnsi="Times New Roman" w:cs="Times New Roman"/>
          <w:b/>
          <w:sz w:val="24"/>
          <w:szCs w:val="24"/>
        </w:rPr>
      </w:pPr>
      <w:r w:rsidRPr="00BC7525">
        <w:rPr>
          <w:rFonts w:ascii="Times New Roman" w:hAnsi="Times New Roman" w:cs="Times New Roman"/>
          <w:b/>
          <w:sz w:val="24"/>
          <w:szCs w:val="24"/>
        </w:rPr>
        <w:t>2. linie obrany</w:t>
      </w:r>
      <w:bookmarkEnd w:id="5"/>
      <w:bookmarkEnd w:id="6"/>
      <w:bookmarkEnd w:id="7"/>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Druhá linie obrany navrhuje rizikové limity v souladu s risk apetitem Společnosti a provádí nezávislý dohled nad řízením rizik, monitoring rizika a kontrolu plnění rizikových limitů. Současně je odpovědná za poradenství, metodickou podporu a vzdělávání 1. linie obrany v oblasti řízení rizik.  Každodenní řízení rizik není odpovědností 2. linie obrany, ale zůstává na 1. linii obrany. Liniově je obrana zajištěna Výborem pro řízení rizik (centrální funkce řízení rizik) v čele s členem představenstva odpovědným za řízení rizik.</w:t>
      </w:r>
    </w:p>
    <w:p w:rsidR="00BC7525" w:rsidRPr="00BC7525" w:rsidRDefault="00BC7525" w:rsidP="00BC7525">
      <w:pPr>
        <w:autoSpaceDE w:val="0"/>
        <w:autoSpaceDN w:val="0"/>
        <w:adjustRightInd w:val="0"/>
        <w:spacing w:after="120"/>
        <w:jc w:val="both"/>
        <w:rPr>
          <w:rFonts w:ascii="Times New Roman" w:hAnsi="Times New Roman" w:cs="Times New Roman"/>
          <w:b/>
          <w:sz w:val="24"/>
          <w:szCs w:val="24"/>
        </w:rPr>
      </w:pPr>
      <w:bookmarkStart w:id="8" w:name="_Toc420423827"/>
      <w:bookmarkStart w:id="9" w:name="_Toc458666825"/>
      <w:bookmarkStart w:id="10" w:name="_Toc459107625"/>
      <w:r w:rsidRPr="00BC7525">
        <w:rPr>
          <w:rFonts w:ascii="Times New Roman" w:hAnsi="Times New Roman" w:cs="Times New Roman"/>
          <w:b/>
          <w:sz w:val="24"/>
          <w:szCs w:val="24"/>
        </w:rPr>
        <w:t>Výbor pro řízení rizik (VŘR)</w:t>
      </w:r>
      <w:bookmarkEnd w:id="8"/>
      <w:bookmarkEnd w:id="9"/>
      <w:bookmarkEnd w:id="10"/>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VŘR je poradním orgánem představenstva, který připravuje základní pravidla a principy řízení rizik v Pojišťovně a po jejich schválení představenstvem společnosti koordinuje jejich zavádění, kontroluje jejich dodržování a navrhuje další opatření ke zkvalitnění systému řízení rizik. Představenstvo může svým rozhodnutím delegovat na Výbor pro řízení rizik pravomoc přijímání rozhodnutí.</w:t>
      </w:r>
    </w:p>
    <w:p w:rsidR="00BC7525" w:rsidRPr="00BC7525" w:rsidRDefault="00BC7525" w:rsidP="00BC7525">
      <w:pPr>
        <w:autoSpaceDE w:val="0"/>
        <w:autoSpaceDN w:val="0"/>
        <w:adjustRightInd w:val="0"/>
        <w:spacing w:after="120"/>
        <w:jc w:val="both"/>
        <w:rPr>
          <w:rFonts w:ascii="Times New Roman" w:hAnsi="Times New Roman" w:cs="Times New Roman"/>
          <w:b/>
          <w:sz w:val="24"/>
          <w:szCs w:val="24"/>
        </w:rPr>
      </w:pPr>
      <w:bookmarkStart w:id="11" w:name="_Toc420423828"/>
      <w:bookmarkStart w:id="12" w:name="_Toc458666826"/>
      <w:bookmarkStart w:id="13" w:name="_Toc459107626"/>
      <w:r w:rsidRPr="00BC7525">
        <w:rPr>
          <w:rFonts w:ascii="Times New Roman" w:hAnsi="Times New Roman" w:cs="Times New Roman"/>
          <w:b/>
          <w:sz w:val="24"/>
          <w:szCs w:val="24"/>
        </w:rPr>
        <w:t>Risk Manager (RM)</w:t>
      </w:r>
      <w:bookmarkEnd w:id="11"/>
      <w:bookmarkEnd w:id="12"/>
      <w:bookmarkEnd w:id="13"/>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RM je zaměstnanec odpovědný za řízení rizik, který vykonává řízení rizik ve společnosti v rámci pravomocí delegovanými VŘR a představenstvem. Jeho hlavní role jsou následující:</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Vypracovává a aktualizuje metodické dokumenty k řízení jednotlivých rizik a spolu s VŘR je předkládá ke schválení představenstvu.</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Vede, spravuje a aktualizuje katalog rizik.</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Navrhuje změny systému řízení rizik a společně s VŘR je předkládá ke schválení představenstvu.</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Navrhuje rizikové rámce, limity, metody a zajišťuje odpovídající materiály a společně s VŘR je předkládá ke schválení představenstvu.</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Začleňuje nástroje a metody řízení rizik do obchodních procesů.</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Dohlíží na sledování čerpání limitů a v případě jejich překročení má povinnost záležitost vyšetřit a ve standardizované formě projednat s VŘR a v daném čase eskalovat na představenstvo.</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Zodpovídá za dokumentaci procesů v oblasti řízení rizik.</w:t>
      </w:r>
    </w:p>
    <w:p w:rsidR="00BC7525" w:rsidRPr="00BC7525" w:rsidRDefault="00BC7525" w:rsidP="003F4A6C">
      <w:pPr>
        <w:pStyle w:val="Odstavecseseznamem"/>
        <w:numPr>
          <w:ilvl w:val="0"/>
          <w:numId w:val="8"/>
        </w:numPr>
        <w:jc w:val="both"/>
        <w:rPr>
          <w:rFonts w:ascii="Times New Roman" w:hAnsi="Times New Roman" w:cs="Times New Roman"/>
          <w:sz w:val="24"/>
          <w:szCs w:val="24"/>
        </w:rPr>
      </w:pPr>
      <w:r w:rsidRPr="00BC7525">
        <w:rPr>
          <w:rFonts w:ascii="Times New Roman" w:hAnsi="Times New Roman" w:cs="Times New Roman"/>
          <w:sz w:val="24"/>
          <w:szCs w:val="24"/>
        </w:rPr>
        <w:t>Přispívá k vytvoření kultury řízení rizik ve Společnosti, zejména tím, že poskytuje podporu zaměstnancům v první linii obrany pro každodenní řízení rizik, školí zaměstnance Společnosti v oblasti řízení rizik a podporuje představenstvo v nastavování systému řízení rizik.</w:t>
      </w:r>
    </w:p>
    <w:p w:rsidR="00BC7525" w:rsidRDefault="00BC7525" w:rsidP="00BC7525">
      <w:pPr>
        <w:autoSpaceDE w:val="0"/>
        <w:autoSpaceDN w:val="0"/>
        <w:adjustRightInd w:val="0"/>
        <w:spacing w:after="120"/>
        <w:jc w:val="both"/>
        <w:rPr>
          <w:rFonts w:ascii="Times New Roman" w:hAnsi="Times New Roman" w:cs="Times New Roman"/>
          <w:b/>
          <w:sz w:val="24"/>
          <w:szCs w:val="24"/>
        </w:rPr>
      </w:pPr>
      <w:r w:rsidRPr="00BC7525">
        <w:rPr>
          <w:rFonts w:ascii="Times New Roman" w:hAnsi="Times New Roman" w:cs="Times New Roman"/>
          <w:b/>
          <w:sz w:val="24"/>
          <w:szCs w:val="24"/>
        </w:rPr>
        <w:t xml:space="preserve">3. </w:t>
      </w:r>
      <w:bookmarkStart w:id="14" w:name="_Toc420423829"/>
      <w:bookmarkStart w:id="15" w:name="_Toc458666827"/>
      <w:bookmarkStart w:id="16" w:name="_Toc459107627"/>
      <w:r w:rsidRPr="00BC7525">
        <w:rPr>
          <w:rFonts w:ascii="Times New Roman" w:hAnsi="Times New Roman" w:cs="Times New Roman"/>
          <w:b/>
          <w:sz w:val="24"/>
          <w:szCs w:val="24"/>
        </w:rPr>
        <w:t>linie obrany</w:t>
      </w:r>
      <w:bookmarkEnd w:id="14"/>
      <w:bookmarkEnd w:id="15"/>
      <w:bookmarkEnd w:id="16"/>
    </w:p>
    <w:p w:rsidR="00BC7525" w:rsidRPr="00BC7525" w:rsidRDefault="00BC7525" w:rsidP="00BC7525">
      <w:pPr>
        <w:autoSpaceDE w:val="0"/>
        <w:autoSpaceDN w:val="0"/>
        <w:adjustRightInd w:val="0"/>
        <w:spacing w:after="120"/>
        <w:jc w:val="both"/>
        <w:rPr>
          <w:rFonts w:ascii="Times New Roman" w:hAnsi="Times New Roman" w:cs="Times New Roman"/>
          <w:b/>
          <w:sz w:val="24"/>
          <w:szCs w:val="24"/>
        </w:rPr>
      </w:pPr>
      <w:r w:rsidRPr="00BC7525">
        <w:rPr>
          <w:rFonts w:ascii="Times New Roman" w:hAnsi="Times New Roman" w:cs="Times New Roman"/>
          <w:sz w:val="24"/>
          <w:szCs w:val="24"/>
        </w:rPr>
        <w:t>Tato linie zajišťuje nezávislou objektivní kontrolu funkčnosti a efektivnosti systému řízení rizik a je zajišťována funkcí interního auditu.</w:t>
      </w:r>
    </w:p>
    <w:p w:rsidR="00D7521E" w:rsidRDefault="00D7521E" w:rsidP="00796F26">
      <w:pPr>
        <w:rPr>
          <w:rFonts w:ascii="Times New Roman" w:hAnsi="Times New Roman" w:cs="Times New Roman"/>
          <w:b/>
          <w:sz w:val="28"/>
          <w:szCs w:val="28"/>
        </w:rPr>
      </w:pPr>
    </w:p>
    <w:p w:rsidR="00D7521E" w:rsidRDefault="00D7521E" w:rsidP="00796F26">
      <w:pPr>
        <w:rPr>
          <w:rFonts w:ascii="Times New Roman" w:hAnsi="Times New Roman" w:cs="Times New Roman"/>
          <w:b/>
          <w:sz w:val="28"/>
          <w:szCs w:val="28"/>
        </w:rPr>
      </w:pPr>
    </w:p>
    <w:p w:rsidR="00796F26" w:rsidRPr="00796F26" w:rsidRDefault="00796F26" w:rsidP="00796F26">
      <w:pPr>
        <w:rPr>
          <w:rFonts w:ascii="Times New Roman" w:hAnsi="Times New Roman" w:cs="Times New Roman"/>
          <w:b/>
          <w:sz w:val="28"/>
          <w:szCs w:val="28"/>
        </w:rPr>
      </w:pPr>
      <w:r w:rsidRPr="00796F26">
        <w:rPr>
          <w:rFonts w:ascii="Times New Roman" w:hAnsi="Times New Roman" w:cs="Times New Roman"/>
          <w:b/>
          <w:sz w:val="28"/>
          <w:szCs w:val="28"/>
        </w:rPr>
        <w:t>2.4</w:t>
      </w:r>
      <w:r w:rsidRPr="00796F26">
        <w:rPr>
          <w:rFonts w:ascii="Times New Roman" w:hAnsi="Times New Roman" w:cs="Times New Roman"/>
          <w:b/>
          <w:sz w:val="28"/>
          <w:szCs w:val="28"/>
        </w:rPr>
        <w:tab/>
        <w:t>Vlastní posouzení rizik a solventnosti</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ORSA není možné brát jako izolovaný proces, ale jako proceduru, propojující několik procesů rozdílného charakteru - od obchodního plánování až k operativnímu řízení rizik na denní bázi. Hlavními předpoklady, které vstupují do ORSA, jsou obchodní a riziková strategie a krátkodobé obchodní plány. Dalšími elementy, které vstupují do ORSA procesu a jsou úzce spojeny s oblastí řízení rizik, a které zajišťují ohodnocení rizikového profilu Společnosti, jsou katalog rizik, výpočty solventnostního kapitálového požadavku (SCR) a technických rezerv (TP).</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V rámci ORSA Společnost používá co nejvíce informací dostupných z ostatních procesů, zejména z řízení rizik (identifikace a ohodnocení rizik, definice stresových scénářů apod.) a obchodního plánování. ORSA proces slouží k ucelenému posouzení těchto informací z pohledu obchodního plánování a vzájemného ovlivňování rizikového profilu a obchodní strategie.</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Metody pro výpočet kapitálových potřeb vycházejí ze standardního vzorce pro výpočet SCR a v případě identifikace rizika, které není v SCR obsaženo, je toto vyhodnoceno v ORSA.</w:t>
      </w:r>
      <w:r>
        <w:rPr>
          <w:rFonts w:ascii="Times New Roman" w:hAnsi="Times New Roman" w:cs="Times New Roman"/>
          <w:sz w:val="24"/>
          <w:szCs w:val="24"/>
        </w:rPr>
        <w:t xml:space="preserve"> </w:t>
      </w:r>
      <w:r w:rsidRPr="00BC7525">
        <w:rPr>
          <w:rFonts w:ascii="Times New Roman" w:hAnsi="Times New Roman" w:cs="Times New Roman"/>
          <w:sz w:val="24"/>
          <w:szCs w:val="24"/>
        </w:rPr>
        <w:t>Společnost v procesu ORSA používá oceňování podle Solv</w:t>
      </w:r>
      <w:r w:rsidR="003E7F4A">
        <w:rPr>
          <w:rFonts w:ascii="Times New Roman" w:hAnsi="Times New Roman" w:cs="Times New Roman"/>
          <w:sz w:val="24"/>
          <w:szCs w:val="24"/>
        </w:rPr>
        <w:t>entnosti</w:t>
      </w:r>
      <w:r w:rsidRPr="00BC7525">
        <w:rPr>
          <w:rFonts w:ascii="Times New Roman" w:hAnsi="Times New Roman" w:cs="Times New Roman"/>
          <w:sz w:val="24"/>
          <w:szCs w:val="24"/>
        </w:rPr>
        <w:t xml:space="preserve"> II.</w:t>
      </w:r>
      <w:r>
        <w:rPr>
          <w:rFonts w:ascii="Times New Roman" w:hAnsi="Times New Roman" w:cs="Times New Roman"/>
          <w:sz w:val="24"/>
          <w:szCs w:val="24"/>
        </w:rPr>
        <w:t xml:space="preserve"> </w:t>
      </w:r>
      <w:r w:rsidRPr="00BC7525">
        <w:rPr>
          <w:rFonts w:ascii="Times New Roman" w:hAnsi="Times New Roman" w:cs="Times New Roman"/>
          <w:sz w:val="24"/>
          <w:szCs w:val="24"/>
        </w:rPr>
        <w:t>Společnost stanovuje své kapitálové potřeby a rizikový apetit v rámci Strategie rizik, která je schvalována představenstvem společnosti na roční bázi.</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 xml:space="preserve">Identifikace rizik probíhá </w:t>
      </w:r>
      <w:r>
        <w:rPr>
          <w:rFonts w:ascii="Times New Roman" w:hAnsi="Times New Roman" w:cs="Times New Roman"/>
          <w:sz w:val="24"/>
          <w:szCs w:val="24"/>
        </w:rPr>
        <w:t>na základě katalogu rizik, přičemž</w:t>
      </w:r>
    </w:p>
    <w:p w:rsidR="00BC7525" w:rsidRDefault="00BC7525" w:rsidP="003F4A6C">
      <w:pPr>
        <w:pStyle w:val="Odstavecseseznamem"/>
        <w:numPr>
          <w:ilvl w:val="0"/>
          <w:numId w:val="9"/>
        </w:numPr>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Každý rok probíhá revize katalogu rizik, který obsahuje všechna rizika, kterým je Pojišťovna vystavena, a jejich klasifikaci.</w:t>
      </w:r>
    </w:p>
    <w:p w:rsidR="003E7F4A" w:rsidRPr="00BC7525" w:rsidRDefault="003E7F4A" w:rsidP="003E7F4A">
      <w:pPr>
        <w:pStyle w:val="Odstavecseseznamem"/>
        <w:spacing w:after="0" w:line="240" w:lineRule="auto"/>
        <w:jc w:val="both"/>
        <w:rPr>
          <w:rFonts w:ascii="Times New Roman" w:hAnsi="Times New Roman" w:cs="Times New Roman"/>
          <w:sz w:val="24"/>
          <w:szCs w:val="24"/>
        </w:rPr>
      </w:pPr>
    </w:p>
    <w:p w:rsidR="00BC7525" w:rsidRPr="00BC7525" w:rsidRDefault="00BC7525" w:rsidP="003F4A6C">
      <w:pPr>
        <w:pStyle w:val="Odstavecseseznamem"/>
        <w:numPr>
          <w:ilvl w:val="0"/>
          <w:numId w:val="9"/>
        </w:numPr>
        <w:spacing w:after="0" w:line="240" w:lineRule="auto"/>
        <w:jc w:val="both"/>
        <w:rPr>
          <w:rFonts w:ascii="Times New Roman" w:hAnsi="Times New Roman" w:cs="Times New Roman"/>
          <w:sz w:val="24"/>
          <w:szCs w:val="24"/>
        </w:rPr>
      </w:pPr>
      <w:r w:rsidRPr="00BC7525">
        <w:rPr>
          <w:rFonts w:ascii="Times New Roman" w:hAnsi="Times New Roman" w:cs="Times New Roman"/>
          <w:sz w:val="24"/>
          <w:szCs w:val="24"/>
        </w:rPr>
        <w:t>Vedoucí zaměstnanci mají povinnost identifikovat rizika v rámci činností jimi řízených útvarů na každodenní bázi.</w:t>
      </w:r>
    </w:p>
    <w:p w:rsidR="003E7F4A" w:rsidRDefault="003E7F4A" w:rsidP="003E7F4A">
      <w:pPr>
        <w:jc w:val="both"/>
        <w:rPr>
          <w:rFonts w:ascii="Times New Roman" w:hAnsi="Times New Roman" w:cs="Times New Roman"/>
          <w:sz w:val="24"/>
          <w:szCs w:val="24"/>
        </w:rPr>
      </w:pPr>
    </w:p>
    <w:p w:rsidR="00BC7525" w:rsidRPr="003E7F4A" w:rsidRDefault="00BC7525" w:rsidP="003E7F4A">
      <w:pPr>
        <w:jc w:val="both"/>
        <w:rPr>
          <w:rFonts w:ascii="Times New Roman" w:hAnsi="Times New Roman" w:cs="Times New Roman"/>
          <w:sz w:val="24"/>
          <w:szCs w:val="24"/>
          <w:highlight w:val="yellow"/>
        </w:rPr>
      </w:pPr>
      <w:r w:rsidRPr="00BC7525">
        <w:rPr>
          <w:rFonts w:ascii="Times New Roman" w:hAnsi="Times New Roman" w:cs="Times New Roman"/>
          <w:sz w:val="24"/>
          <w:szCs w:val="24"/>
        </w:rPr>
        <w:t>Součástí klasifikace rizika je také posouzení, zda jsou dodrženy požadavky na výpočet SCR podle standardního vzorce a výpočet technických rezerv a zda hodnota rizika vypočtená podle standardního vzorce je adekvátní.</w:t>
      </w:r>
    </w:p>
    <w:p w:rsidR="00BC7525" w:rsidRPr="00BC7525" w:rsidRDefault="003E7F4A" w:rsidP="003E7F4A">
      <w:pPr>
        <w:rPr>
          <w:rFonts w:ascii="Times New Roman" w:hAnsi="Times New Roman" w:cs="Times New Roman"/>
          <w:sz w:val="24"/>
          <w:szCs w:val="24"/>
        </w:rPr>
      </w:pPr>
      <w:r>
        <w:rPr>
          <w:rFonts w:ascii="Times New Roman" w:hAnsi="Times New Roman" w:cs="Times New Roman"/>
          <w:sz w:val="24"/>
          <w:szCs w:val="24"/>
        </w:rPr>
        <w:t>V rámci ORSA procesu probíhá rovněž s</w:t>
      </w:r>
      <w:r w:rsidR="00BC7525" w:rsidRPr="00BC7525">
        <w:rPr>
          <w:rFonts w:ascii="Times New Roman" w:hAnsi="Times New Roman" w:cs="Times New Roman"/>
          <w:sz w:val="24"/>
          <w:szCs w:val="24"/>
        </w:rPr>
        <w:t>tresové testování</w:t>
      </w:r>
      <w:r>
        <w:rPr>
          <w:rFonts w:ascii="Times New Roman" w:hAnsi="Times New Roman" w:cs="Times New Roman"/>
          <w:sz w:val="24"/>
          <w:szCs w:val="24"/>
        </w:rPr>
        <w:t>, přičemž při výběru scénářů se přihlíží k rizikům, kterým je Pojišťovna skutečně vystavena.</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Za vyhodnocení výsledků předchozích kroků odpovídá risk manažer. Ve spolupráci s příslušnými útvary navrhuje možná opatření a posuzuje, jaký dopad tato opatření mohou mít. V případě nedostatečné solventnosti je cílem těchto opatření změnit rizikový profil Pojišťovny tak, aby Společnost nadále splňovala požadavky na solventnost. Navrhovaná opatření jsou diskutována vždy ve Výboru pro řízení rizik a schvalována představenstvem Společnosti. Opatření se mohou týkat jak změn rizikového profilu, tak změn obchodních plánů a výše dostupného kapitálu.</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 xml:space="preserve">V poslední fázi pak Risk manažer sestaví zprávu ORSA s popisem všech zjištění a výsledků s navrženými opatřeními. Je také zodpovědný za zdokumentování celého procesu, zejména shromáždění všech podkladových dokumentů, na něž se zpráva ORSA odvolává. </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Konečná zpráva ORSA je schvalována představenstvem Společnosti.</w:t>
      </w:r>
      <w:r w:rsidR="003E7F4A">
        <w:rPr>
          <w:rFonts w:ascii="Times New Roman" w:hAnsi="Times New Roman" w:cs="Times New Roman"/>
          <w:sz w:val="24"/>
          <w:szCs w:val="24"/>
        </w:rPr>
        <w:t xml:space="preserve"> </w:t>
      </w:r>
      <w:r w:rsidRPr="00BC7525">
        <w:rPr>
          <w:rFonts w:ascii="Times New Roman" w:hAnsi="Times New Roman" w:cs="Times New Roman"/>
          <w:sz w:val="24"/>
          <w:szCs w:val="24"/>
        </w:rPr>
        <w:t>Výsledky a závěry ORSA jsou komunikovány relevantním zaměstnancům Společnosti.</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ORSA proces probíhá pravidelně jednou ročně. V případě významné změny tržního prostředí, nebo v případě rozhodnutí managementu, které by mohlo mít dopad na solventnostní pozici Společnosti se spouští ad-hoc běh ORSA procesu. O spuštění ad-hoc ORSA rozhoduje představenstvo na návrh Výboru pro řízení rizik.</w:t>
      </w:r>
    </w:p>
    <w:p w:rsidR="00BC7525" w:rsidRPr="00BC7525" w:rsidRDefault="00BC7525" w:rsidP="00BC7525">
      <w:pPr>
        <w:jc w:val="both"/>
        <w:rPr>
          <w:rFonts w:ascii="Times New Roman" w:hAnsi="Times New Roman" w:cs="Times New Roman"/>
          <w:sz w:val="24"/>
          <w:szCs w:val="24"/>
        </w:rPr>
      </w:pPr>
      <w:r w:rsidRPr="00BC7525">
        <w:rPr>
          <w:rFonts w:ascii="Times New Roman" w:hAnsi="Times New Roman" w:cs="Times New Roman"/>
          <w:sz w:val="24"/>
          <w:szCs w:val="24"/>
        </w:rPr>
        <w:t>Společnost pro účely ORSA oceňuje aktiva i závazky stejným způsobem jako pro výpočet SCR a kapitálu. Zároveň používá stejně předpoklady.</w:t>
      </w:r>
    </w:p>
    <w:p w:rsidR="00796F26" w:rsidRPr="00796F26" w:rsidRDefault="00796F26" w:rsidP="00796F26">
      <w:pPr>
        <w:rPr>
          <w:rFonts w:ascii="Times New Roman" w:hAnsi="Times New Roman" w:cs="Times New Roman"/>
          <w:b/>
          <w:sz w:val="28"/>
          <w:szCs w:val="28"/>
        </w:rPr>
      </w:pPr>
      <w:r w:rsidRPr="00796F26">
        <w:rPr>
          <w:rFonts w:ascii="Times New Roman" w:hAnsi="Times New Roman" w:cs="Times New Roman"/>
          <w:b/>
          <w:sz w:val="28"/>
          <w:szCs w:val="28"/>
        </w:rPr>
        <w:t>2.5</w:t>
      </w:r>
      <w:r w:rsidRPr="00796F26">
        <w:rPr>
          <w:rFonts w:ascii="Times New Roman" w:hAnsi="Times New Roman" w:cs="Times New Roman"/>
          <w:b/>
          <w:sz w:val="28"/>
          <w:szCs w:val="28"/>
        </w:rPr>
        <w:tab/>
        <w:t>Systém vnitřní kontroly</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Jednou ze základních podmínek pro vznik a existenci efektivní organizační struktury Pojišťovny a efektivního kontrolního prostředí je oddělení neslučitelných funkcí. Odpovědnosti a pravomoci představenstva, dozorčí rady, Výboru pro audit, jednotlivých úseků, výborů (komisí) a zaměstnanců Pojišťovny musí být proto stanoveny a přidělovány tak, aby bylo dostatečně zamezeno vzniku možného střetu zájmů.</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V praxi to znamená zejména oddělení a vyčlenění vybraných činností, v jejichž přímém důsledku je Pojišťovna vystavena pojistně-technickému, tržnímu, úvěrovému nebo operačnímu riziku a dále oddělení odpovědnosti za řízení obchodních činností od řízení rizik a vypořádání obchodů na finančních trzích.</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Vnitřní kontrolní systém je definován jako systém mechanizmů a nástrojů zaměřených zejména na posouzení pravdivosti, celistvosti a vypovídací schopnosti informací o činnosti Pojišťovny; na vyhledávání a dokumentaci rizik spojených s činností Pojišťovny a na určení pravděpodobnosti negativních dopadů těchto rizik; na stanovení pracovních postupů zabezpečujících věcnou správnost údajů vykazovaných v účetnictví Pojišťovny a testování jejich správnosti; na prověřování souladu činnosti Pojišťovny s právními předpisy; na vyhodnocování hospodárnosti, účinnosti a efektivnosti řízení Pojišťovny</w:t>
      </w:r>
      <w:r>
        <w:rPr>
          <w:rFonts w:ascii="Times New Roman" w:hAnsi="Times New Roman" w:cs="Times New Roman"/>
          <w:sz w:val="24"/>
          <w:szCs w:val="24"/>
        </w:rPr>
        <w:t xml:space="preserve"> s využitím zejména finančních, </w:t>
      </w:r>
      <w:r w:rsidRPr="00D52909">
        <w:rPr>
          <w:rFonts w:ascii="Times New Roman" w:hAnsi="Times New Roman" w:cs="Times New Roman"/>
          <w:sz w:val="24"/>
          <w:szCs w:val="24"/>
        </w:rPr>
        <w:t>majetkových</w:t>
      </w:r>
      <w:r>
        <w:rPr>
          <w:rFonts w:ascii="Times New Roman" w:hAnsi="Times New Roman" w:cs="Times New Roman"/>
          <w:sz w:val="24"/>
          <w:szCs w:val="24"/>
        </w:rPr>
        <w:t xml:space="preserve"> </w:t>
      </w:r>
      <w:r w:rsidRPr="00D52909">
        <w:rPr>
          <w:rFonts w:ascii="Times New Roman" w:hAnsi="Times New Roman" w:cs="Times New Roman"/>
          <w:sz w:val="24"/>
          <w:szCs w:val="24"/>
        </w:rPr>
        <w:t>a personálních zdrojů Pojišťovny.</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 xml:space="preserve">Kontrolní činnosti jsou nedílnou součástí každodenního provozu Pojišťovny v celé organizační struktuře, na všech úrovních řízení, ve všech činnostech a u všech zaměstnanců. Kontrolní činnosti jsou procesy skládající se z pravidel, procedur a systémových opatření, které poskytují přiměřenou jistotu o plnění cílů: </w:t>
      </w:r>
    </w:p>
    <w:p w:rsidR="00D52909" w:rsidRPr="00D52909" w:rsidRDefault="00D52909" w:rsidP="003F4A6C">
      <w:pPr>
        <w:pStyle w:val="Odstavecseseznamem"/>
        <w:numPr>
          <w:ilvl w:val="0"/>
          <w:numId w:val="11"/>
        </w:numPr>
        <w:rPr>
          <w:rFonts w:ascii="Times New Roman" w:hAnsi="Times New Roman" w:cs="Times New Roman"/>
          <w:sz w:val="24"/>
          <w:szCs w:val="24"/>
        </w:rPr>
      </w:pPr>
      <w:r w:rsidRPr="00D52909">
        <w:rPr>
          <w:rFonts w:ascii="Times New Roman" w:hAnsi="Times New Roman" w:cs="Times New Roman"/>
          <w:sz w:val="24"/>
          <w:szCs w:val="24"/>
        </w:rPr>
        <w:t>provozních (výkonnosti, efektivnosti a účinnosti provozních operací),</w:t>
      </w:r>
    </w:p>
    <w:p w:rsidR="00D52909" w:rsidRPr="00D52909" w:rsidRDefault="00D52909" w:rsidP="003F4A6C">
      <w:pPr>
        <w:pStyle w:val="Odstavecseseznamem"/>
        <w:numPr>
          <w:ilvl w:val="0"/>
          <w:numId w:val="11"/>
        </w:numPr>
        <w:rPr>
          <w:rFonts w:ascii="Times New Roman" w:hAnsi="Times New Roman" w:cs="Times New Roman"/>
          <w:sz w:val="24"/>
          <w:szCs w:val="24"/>
        </w:rPr>
      </w:pPr>
      <w:r w:rsidRPr="00D52909">
        <w:rPr>
          <w:rFonts w:ascii="Times New Roman" w:hAnsi="Times New Roman" w:cs="Times New Roman"/>
          <w:sz w:val="24"/>
          <w:szCs w:val="24"/>
        </w:rPr>
        <w:t>informačních (správnosti, aktuálnosti, spolehlivosti a úplnosti finančních a manažerských informací),</w:t>
      </w:r>
    </w:p>
    <w:p w:rsidR="00D52909" w:rsidRPr="00D52909" w:rsidRDefault="00D52909" w:rsidP="003F4A6C">
      <w:pPr>
        <w:pStyle w:val="Odstavecseseznamem"/>
        <w:numPr>
          <w:ilvl w:val="0"/>
          <w:numId w:val="11"/>
        </w:numPr>
        <w:rPr>
          <w:rFonts w:ascii="Times New Roman" w:hAnsi="Times New Roman" w:cs="Times New Roman"/>
          <w:sz w:val="24"/>
          <w:szCs w:val="24"/>
        </w:rPr>
      </w:pPr>
      <w:r w:rsidRPr="00D52909">
        <w:rPr>
          <w:rFonts w:ascii="Times New Roman" w:hAnsi="Times New Roman" w:cs="Times New Roman"/>
          <w:sz w:val="24"/>
          <w:szCs w:val="24"/>
        </w:rPr>
        <w:t>legislativních (dodržování příslušných zákonů a ostatních předpisů).</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Základní funkcí a cílem compliance je zejména zajištění celkového souladu vnitřních předpisů Pojišťovny s právními předpisy, souladu vnitřních předpisů navzájem a souladu činností úseků a zaměstnanců Pojišťovny s právními předpisy, vnitřními předpisy a pravidly stanovenými pro činnost Pojišťovny.</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Zásadami compliance se rozumí hlavní cíle a klíčová pravidla pro činnosti, které jsou vykonávány za účelem zajištění compliance, včetně zásad organizačního uspořádání a pravomocí, odpovědností a vzájemných vazeb jednotlivých orgánů, útvarů, osob a výborů, pokud jsou zřízeny, při zajišťování compliance, zásad pro rozpoznávání a vyhodnocování rizika compliance a zásad vytváření, využívání a uchovávání compliance informací.</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Výkonem compliance jsou pak činnosti, které jsou ve svém souhrnu prevencí nedodržení tohoto souladu. Jsou prevencí vzniku rizika právních nebo regulatorních sankcí, materiální či finanční ztráty nebo ztráty reputace, kterou Pojišťovny může utrpět v důsledku neplnění zákonných a regulatorních požadavků nebo etickým kodexem Pojišťovny.</w:t>
      </w:r>
    </w:p>
    <w:p w:rsidR="00D52909" w:rsidRP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Základní oblasti činnosti compliance ve vztahu k ŘKS tvoří zejména:</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monitorování a vyhodnocení stavu vnitřních zásad, postupů a kontrolních opatření v oblasti legalizace výnosů z trestné činnosti a financování terorismu,</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monitoring změn právních předpisů a regulatorních požadavků,</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koordinace identifikace, analýzy a řízení compliance rizika,</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monitoring dodržování compliance pravidel; vyhledávání, analýza, měření a hodnocení compliance rizika,</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přijímání hlášení odchylek a nesouladů, jejich dokumentace a navrhování nápravných opatření k odstranění neshod,</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koordinace opatření k nápravě nedostatků zjištěných na základě oprávněných stížností klientů, které indikující compliance riziko,</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provádění tematických kontrol dodržování compliance (tím nejsou dotčeny kompetence interního auditu v dané oblasti),</w:t>
      </w:r>
    </w:p>
    <w:p w:rsidR="00D52909" w:rsidRPr="00D52909" w:rsidRDefault="00D52909" w:rsidP="003F4A6C">
      <w:pPr>
        <w:pStyle w:val="Odstavecseseznamem"/>
        <w:numPr>
          <w:ilvl w:val="0"/>
          <w:numId w:val="12"/>
        </w:numPr>
        <w:spacing w:after="0" w:line="240" w:lineRule="auto"/>
        <w:jc w:val="both"/>
        <w:rPr>
          <w:rFonts w:ascii="Times New Roman" w:hAnsi="Times New Roman" w:cs="Times New Roman"/>
          <w:sz w:val="24"/>
          <w:szCs w:val="24"/>
        </w:rPr>
      </w:pPr>
      <w:r w:rsidRPr="00D52909">
        <w:rPr>
          <w:rFonts w:ascii="Times New Roman" w:hAnsi="Times New Roman" w:cs="Times New Roman"/>
          <w:sz w:val="24"/>
          <w:szCs w:val="24"/>
        </w:rPr>
        <w:t>koordinace školení zaměstnanců Pojišťovny v oblasti compliance a poradenství zaměstnancům při zajišťování jejich úkolů v oblasti compliance.</w:t>
      </w:r>
    </w:p>
    <w:p w:rsidR="00D52909" w:rsidRPr="00D52909" w:rsidRDefault="00D52909" w:rsidP="00D52909">
      <w:pPr>
        <w:pStyle w:val="Odstavecseseznamem"/>
        <w:jc w:val="both"/>
        <w:rPr>
          <w:rFonts w:ascii="Times New Roman" w:hAnsi="Times New Roman" w:cs="Times New Roman"/>
          <w:sz w:val="24"/>
          <w:szCs w:val="24"/>
        </w:rPr>
      </w:pPr>
    </w:p>
    <w:p w:rsidR="00D52909" w:rsidRDefault="00D52909" w:rsidP="00D52909">
      <w:pPr>
        <w:jc w:val="both"/>
        <w:rPr>
          <w:rFonts w:ascii="Times New Roman" w:hAnsi="Times New Roman" w:cs="Times New Roman"/>
          <w:sz w:val="24"/>
          <w:szCs w:val="24"/>
        </w:rPr>
      </w:pPr>
      <w:r w:rsidRPr="00D52909">
        <w:rPr>
          <w:rFonts w:ascii="Times New Roman" w:hAnsi="Times New Roman" w:cs="Times New Roman"/>
          <w:sz w:val="24"/>
          <w:szCs w:val="24"/>
        </w:rPr>
        <w:t>Zásady pro výkon compliance, postavení, pravomoci a odpovědnosti zaměstnanců určených pro zajištění výkonu compliance v Pojišťovně upravuje samostatný vnitřní předpis.</w:t>
      </w:r>
    </w:p>
    <w:p w:rsidR="00525A9D" w:rsidRPr="00525A9D" w:rsidRDefault="00525A9D" w:rsidP="00525A9D">
      <w:pPr>
        <w:jc w:val="both"/>
        <w:rPr>
          <w:rFonts w:ascii="Times New Roman" w:hAnsi="Times New Roman" w:cs="Times New Roman"/>
          <w:sz w:val="24"/>
          <w:szCs w:val="24"/>
        </w:rPr>
      </w:pPr>
      <w:r w:rsidRPr="00525A9D">
        <w:rPr>
          <w:rFonts w:ascii="Times New Roman" w:hAnsi="Times New Roman" w:cs="Times New Roman"/>
          <w:sz w:val="24"/>
          <w:szCs w:val="24"/>
        </w:rPr>
        <w:t>Zpráva compliance funkce o své činnosti v roce 2016 je přílohou číslo 2 této zprávy.</w:t>
      </w:r>
    </w:p>
    <w:p w:rsidR="00FE2AD4" w:rsidRPr="00FE2AD4" w:rsidRDefault="00FE2AD4" w:rsidP="00FE2AD4">
      <w:pPr>
        <w:rPr>
          <w:rFonts w:ascii="Times New Roman" w:hAnsi="Times New Roman" w:cs="Times New Roman"/>
          <w:b/>
          <w:sz w:val="28"/>
          <w:szCs w:val="28"/>
        </w:rPr>
      </w:pPr>
      <w:r w:rsidRPr="00FE2AD4">
        <w:rPr>
          <w:rFonts w:ascii="Times New Roman" w:hAnsi="Times New Roman" w:cs="Times New Roman"/>
          <w:b/>
          <w:sz w:val="28"/>
          <w:szCs w:val="28"/>
        </w:rPr>
        <w:t>2.6</w:t>
      </w:r>
      <w:r w:rsidRPr="00FE2AD4">
        <w:rPr>
          <w:rFonts w:ascii="Times New Roman" w:hAnsi="Times New Roman" w:cs="Times New Roman"/>
          <w:b/>
          <w:sz w:val="28"/>
          <w:szCs w:val="28"/>
        </w:rPr>
        <w:tab/>
        <w:t>Funkce vnitřního auditu</w:t>
      </w:r>
    </w:p>
    <w:p w:rsidR="001A60E1" w:rsidRPr="001A60E1" w:rsidRDefault="001A60E1" w:rsidP="001A60E1">
      <w:pPr>
        <w:rPr>
          <w:rFonts w:ascii="Times New Roman" w:hAnsi="Times New Roman" w:cs="Times New Roman"/>
          <w:sz w:val="24"/>
          <w:szCs w:val="24"/>
        </w:rPr>
      </w:pPr>
      <w:r w:rsidRPr="001A60E1">
        <w:rPr>
          <w:rFonts w:ascii="Times New Roman" w:hAnsi="Times New Roman" w:cs="Times New Roman"/>
          <w:sz w:val="24"/>
          <w:szCs w:val="24"/>
        </w:rPr>
        <w:t xml:space="preserve">Činnost interního auditu je založena na nezávislé, objektivní, </w:t>
      </w:r>
      <w:r w:rsidR="007009A4" w:rsidRPr="001A60E1">
        <w:rPr>
          <w:rFonts w:ascii="Times New Roman" w:hAnsi="Times New Roman" w:cs="Times New Roman"/>
          <w:sz w:val="24"/>
          <w:szCs w:val="24"/>
        </w:rPr>
        <w:t>zjišťovací</w:t>
      </w:r>
      <w:r w:rsidRPr="001A60E1">
        <w:rPr>
          <w:rFonts w:ascii="Times New Roman" w:hAnsi="Times New Roman" w:cs="Times New Roman"/>
          <w:sz w:val="24"/>
          <w:szCs w:val="24"/>
        </w:rPr>
        <w:t xml:space="preserve"> a konzultační činnosti zaměřené na přidávání hodnoty a zdokonalování procesů v Pojišťovně. Tato činnost pomáhá dosahovat jejich cílů tím, že přináší systematický metodický přístup k hodnocení a zlepšování účinnosti ŘKS, systému řízení rizik, řídicích a kontrolních procesů a řízení a správy Pojišťovny.</w:t>
      </w:r>
    </w:p>
    <w:p w:rsidR="001A60E1" w:rsidRPr="001A60E1" w:rsidRDefault="001A60E1" w:rsidP="001A60E1">
      <w:pPr>
        <w:rPr>
          <w:rFonts w:ascii="Times New Roman" w:hAnsi="Times New Roman" w:cs="Times New Roman"/>
          <w:sz w:val="24"/>
          <w:szCs w:val="24"/>
        </w:rPr>
      </w:pPr>
      <w:r w:rsidRPr="001A60E1">
        <w:rPr>
          <w:rFonts w:ascii="Times New Roman" w:hAnsi="Times New Roman" w:cs="Times New Roman"/>
          <w:sz w:val="24"/>
          <w:szCs w:val="24"/>
        </w:rPr>
        <w:t>Činnosti interního auditu jsou vykonávány nezávisle na vý</w:t>
      </w:r>
      <w:r w:rsidR="007009A4">
        <w:rPr>
          <w:rFonts w:ascii="Times New Roman" w:hAnsi="Times New Roman" w:cs="Times New Roman"/>
          <w:sz w:val="24"/>
          <w:szCs w:val="24"/>
        </w:rPr>
        <w:t xml:space="preserve">konných činnostech Pojišťovny. </w:t>
      </w:r>
      <w:r w:rsidRPr="001A60E1">
        <w:rPr>
          <w:rFonts w:ascii="Times New Roman" w:hAnsi="Times New Roman" w:cs="Times New Roman"/>
          <w:sz w:val="24"/>
          <w:szCs w:val="24"/>
        </w:rPr>
        <w:t>Zásady pro výkon interního auditu, postavení, pravomoci a odpovědnosti zaměstnanců určených pro jeho zajištění v Pojišťovně upravuje samostatný vnitřní předpis.</w:t>
      </w:r>
    </w:p>
    <w:p w:rsidR="001A60E1" w:rsidRPr="001A60E1" w:rsidRDefault="001A60E1" w:rsidP="001A60E1">
      <w:pPr>
        <w:rPr>
          <w:rFonts w:ascii="Times New Roman" w:hAnsi="Times New Roman" w:cs="Times New Roman"/>
          <w:sz w:val="24"/>
          <w:szCs w:val="24"/>
        </w:rPr>
      </w:pPr>
      <w:r w:rsidRPr="001A60E1">
        <w:rPr>
          <w:rFonts w:ascii="Times New Roman" w:hAnsi="Times New Roman" w:cs="Times New Roman"/>
          <w:sz w:val="24"/>
          <w:szCs w:val="24"/>
        </w:rPr>
        <w:t>Interní audit ve vztahu k ŘKS především hodnotí jeho účinnost a efektivnost ve společnosti, zejména rizik spojených s řízením a správou pojišťovny, s procesy ve společnosti a informačními systémy z hlediska:</w:t>
      </w:r>
    </w:p>
    <w:p w:rsidR="001A60E1" w:rsidRPr="007009A4" w:rsidRDefault="001A60E1" w:rsidP="003F4A6C">
      <w:pPr>
        <w:pStyle w:val="Odstavecseseznamem"/>
        <w:numPr>
          <w:ilvl w:val="0"/>
          <w:numId w:val="13"/>
        </w:numPr>
        <w:rPr>
          <w:rFonts w:ascii="Times New Roman" w:hAnsi="Times New Roman" w:cs="Times New Roman"/>
          <w:sz w:val="24"/>
          <w:szCs w:val="24"/>
        </w:rPr>
      </w:pPr>
      <w:r w:rsidRPr="007009A4">
        <w:rPr>
          <w:rFonts w:ascii="Times New Roman" w:hAnsi="Times New Roman" w:cs="Times New Roman"/>
          <w:sz w:val="24"/>
          <w:szCs w:val="24"/>
        </w:rPr>
        <w:t>spolehlivosti a integrity finančních a provozních informací;</w:t>
      </w:r>
    </w:p>
    <w:p w:rsidR="001A60E1" w:rsidRPr="007009A4" w:rsidRDefault="001A60E1" w:rsidP="003F4A6C">
      <w:pPr>
        <w:pStyle w:val="Odstavecseseznamem"/>
        <w:numPr>
          <w:ilvl w:val="0"/>
          <w:numId w:val="13"/>
        </w:numPr>
        <w:rPr>
          <w:rFonts w:ascii="Times New Roman" w:hAnsi="Times New Roman" w:cs="Times New Roman"/>
          <w:sz w:val="24"/>
          <w:szCs w:val="24"/>
        </w:rPr>
      </w:pPr>
      <w:r w:rsidRPr="007009A4">
        <w:rPr>
          <w:rFonts w:ascii="Times New Roman" w:hAnsi="Times New Roman" w:cs="Times New Roman"/>
          <w:sz w:val="24"/>
          <w:szCs w:val="24"/>
        </w:rPr>
        <w:t>účinnosti a efektivnosti procesů;</w:t>
      </w:r>
    </w:p>
    <w:p w:rsidR="001A60E1" w:rsidRPr="007009A4" w:rsidRDefault="001A60E1" w:rsidP="003F4A6C">
      <w:pPr>
        <w:pStyle w:val="Odstavecseseznamem"/>
        <w:numPr>
          <w:ilvl w:val="0"/>
          <w:numId w:val="13"/>
        </w:numPr>
        <w:rPr>
          <w:rFonts w:ascii="Times New Roman" w:hAnsi="Times New Roman" w:cs="Times New Roman"/>
          <w:sz w:val="24"/>
          <w:szCs w:val="24"/>
        </w:rPr>
      </w:pPr>
      <w:r w:rsidRPr="007009A4">
        <w:rPr>
          <w:rFonts w:ascii="Times New Roman" w:hAnsi="Times New Roman" w:cs="Times New Roman"/>
          <w:sz w:val="24"/>
          <w:szCs w:val="24"/>
        </w:rPr>
        <w:t>ochrany aktiv;</w:t>
      </w:r>
    </w:p>
    <w:p w:rsidR="001A60E1" w:rsidRPr="007009A4" w:rsidRDefault="001A60E1" w:rsidP="003F4A6C">
      <w:pPr>
        <w:pStyle w:val="Odstavecseseznamem"/>
        <w:numPr>
          <w:ilvl w:val="0"/>
          <w:numId w:val="13"/>
        </w:numPr>
        <w:rPr>
          <w:rFonts w:ascii="Times New Roman" w:hAnsi="Times New Roman" w:cs="Times New Roman"/>
          <w:sz w:val="24"/>
          <w:szCs w:val="24"/>
        </w:rPr>
      </w:pPr>
      <w:r w:rsidRPr="007009A4">
        <w:rPr>
          <w:rFonts w:ascii="Times New Roman" w:hAnsi="Times New Roman" w:cs="Times New Roman"/>
          <w:sz w:val="24"/>
          <w:szCs w:val="24"/>
        </w:rPr>
        <w:t>dodržování zákonů, předpisů a smluv.</w:t>
      </w:r>
    </w:p>
    <w:p w:rsidR="001A60E1" w:rsidRPr="001A60E1" w:rsidRDefault="001A60E1" w:rsidP="001A60E1">
      <w:pPr>
        <w:rPr>
          <w:rFonts w:ascii="Times New Roman" w:hAnsi="Times New Roman" w:cs="Times New Roman"/>
          <w:sz w:val="24"/>
          <w:szCs w:val="24"/>
        </w:rPr>
      </w:pPr>
      <w:r w:rsidRPr="001A60E1">
        <w:rPr>
          <w:rFonts w:ascii="Times New Roman" w:hAnsi="Times New Roman" w:cs="Times New Roman"/>
          <w:sz w:val="24"/>
          <w:szCs w:val="24"/>
        </w:rPr>
        <w:t>Interní audit pravidelně jednou ročně do konce ledna příslušného kalendářního roku zpracovává a ke schválení představenstvu společnosti předkládá Zprávu o kontrolní činnosti. Zejména zde hodnotí spolehlivost a integritu finančních a provozních informací, funkčnost a účinnost procesů, ochrany aktiv a dodržování právních předpisů a vnitřních předpisů. Současně ověřuje, do jaké míry vedoucí úseků zavedli a dodržují adekvátní kontrolní prvky, mechanismy a kritéria, prostřednictvím kterých lze určit, zda byly stanovené úkoly a strategické cíle splněny.</w:t>
      </w:r>
    </w:p>
    <w:p w:rsidR="001A60E1" w:rsidRPr="001A60E1" w:rsidRDefault="001A60E1" w:rsidP="001A60E1">
      <w:pPr>
        <w:rPr>
          <w:rFonts w:ascii="Times New Roman" w:hAnsi="Times New Roman" w:cs="Times New Roman"/>
          <w:sz w:val="24"/>
          <w:szCs w:val="24"/>
        </w:rPr>
      </w:pPr>
      <w:r w:rsidRPr="001A60E1">
        <w:rPr>
          <w:rFonts w:ascii="Times New Roman" w:hAnsi="Times New Roman" w:cs="Times New Roman"/>
          <w:sz w:val="24"/>
          <w:szCs w:val="24"/>
        </w:rPr>
        <w:t xml:space="preserve">Zprávu o vyhodnocení funkčnosti a efektivnosti řídícího a kontrolního systému předkládá představenstvu, poté je předložena Výboru pro audit a dozorčí radě k projednání. V případě zjištění nedostatků jsou předložena doporučení k jejich odstranění. </w:t>
      </w:r>
    </w:p>
    <w:p w:rsidR="00D7521E" w:rsidRDefault="00D7521E" w:rsidP="00D7521E">
      <w:pPr>
        <w:rPr>
          <w:rFonts w:ascii="Times New Roman" w:hAnsi="Times New Roman" w:cs="Times New Roman"/>
          <w:sz w:val="24"/>
          <w:szCs w:val="24"/>
        </w:rPr>
      </w:pPr>
      <w:r>
        <w:rPr>
          <w:rFonts w:ascii="Times New Roman" w:hAnsi="Times New Roman" w:cs="Times New Roman"/>
          <w:sz w:val="24"/>
          <w:szCs w:val="24"/>
        </w:rPr>
        <w:t>Informace o oblastech, na které se interní auditor zaměřil, o jednotlivých kontrolách, zhodnocení účinnosti vnitřního řídícího a kontrolního systému a doporučení směřující k jeho zlepšení jsou přílohou číslo 3 této zprávy.</w:t>
      </w:r>
    </w:p>
    <w:p w:rsidR="00870D29" w:rsidRPr="00870D29" w:rsidRDefault="00D7521E" w:rsidP="00870D29">
      <w:pPr>
        <w:rPr>
          <w:rFonts w:ascii="Times New Roman" w:hAnsi="Times New Roman" w:cs="Times New Roman"/>
          <w:sz w:val="24"/>
          <w:szCs w:val="24"/>
          <w:highlight w:val="cyan"/>
        </w:rPr>
      </w:pPr>
      <w:r>
        <w:rPr>
          <w:rFonts w:ascii="Times New Roman" w:hAnsi="Times New Roman" w:cs="Times New Roman"/>
          <w:sz w:val="24"/>
          <w:szCs w:val="24"/>
        </w:rPr>
        <w:t>Osoba</w:t>
      </w:r>
      <w:r w:rsidR="00870D29" w:rsidRPr="00870D29">
        <w:rPr>
          <w:rFonts w:ascii="Times New Roman" w:hAnsi="Times New Roman" w:cs="Times New Roman"/>
          <w:sz w:val="24"/>
          <w:szCs w:val="24"/>
        </w:rPr>
        <w:t>, které vykonávají funkci vnitřního auditu Pojišťovny, nezastávají žádnou další klíčovou funkci.</w:t>
      </w:r>
    </w:p>
    <w:p w:rsidR="00FE2AD4" w:rsidRDefault="00FE2AD4" w:rsidP="00FE2AD4">
      <w:pPr>
        <w:rPr>
          <w:rFonts w:ascii="Times New Roman" w:hAnsi="Times New Roman" w:cs="Times New Roman"/>
          <w:b/>
          <w:sz w:val="28"/>
          <w:szCs w:val="28"/>
        </w:rPr>
      </w:pPr>
      <w:r w:rsidRPr="00FE2AD4">
        <w:rPr>
          <w:rFonts w:ascii="Times New Roman" w:hAnsi="Times New Roman" w:cs="Times New Roman"/>
          <w:b/>
          <w:sz w:val="28"/>
          <w:szCs w:val="28"/>
        </w:rPr>
        <w:t>2.7</w:t>
      </w:r>
      <w:r w:rsidRPr="00FE2AD4">
        <w:rPr>
          <w:rFonts w:ascii="Times New Roman" w:hAnsi="Times New Roman" w:cs="Times New Roman"/>
          <w:b/>
          <w:sz w:val="28"/>
          <w:szCs w:val="28"/>
        </w:rPr>
        <w:tab/>
        <w:t>Pojistně-matematická funkce</w:t>
      </w:r>
    </w:p>
    <w:p w:rsidR="00870D29" w:rsidRPr="00870D29" w:rsidRDefault="00870D29" w:rsidP="00870D29">
      <w:pPr>
        <w:pStyle w:val="Stylslovanodstavec-mjTun"/>
        <w:numPr>
          <w:ilvl w:val="0"/>
          <w:numId w:val="0"/>
        </w:numPr>
        <w:spacing w:after="0"/>
        <w:rPr>
          <w:b w:val="0"/>
          <w:bCs w:val="0"/>
          <w:lang w:eastAsia="en-US"/>
        </w:rPr>
      </w:pPr>
      <w:r w:rsidRPr="00870D29">
        <w:rPr>
          <w:b w:val="0"/>
          <w:bCs w:val="0"/>
          <w:lang w:eastAsia="en-US"/>
        </w:rPr>
        <w:t>Pojišťovna má a udržuje v platnosti účinný systém zajišťující výkon činností pojistně-matematické funkce, která zahrnuje:</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koordinaci výpočtu technických rezerv,</w:t>
      </w:r>
    </w:p>
    <w:p w:rsidR="00870D29" w:rsidRDefault="00870D29" w:rsidP="003F4A6C">
      <w:pPr>
        <w:pStyle w:val="Stylslovanodstavec-mjTun"/>
        <w:numPr>
          <w:ilvl w:val="0"/>
          <w:numId w:val="15"/>
        </w:numPr>
        <w:spacing w:after="0"/>
        <w:rPr>
          <w:b w:val="0"/>
          <w:bCs w:val="0"/>
          <w:lang w:eastAsia="en-US"/>
        </w:rPr>
      </w:pPr>
      <w:r w:rsidRPr="00870D29">
        <w:rPr>
          <w:b w:val="0"/>
          <w:bCs w:val="0"/>
          <w:lang w:eastAsia="en-US"/>
        </w:rPr>
        <w:t>zajišťování přiměřenosti používaných metodik, po</w:t>
      </w:r>
      <w:r>
        <w:rPr>
          <w:b w:val="0"/>
          <w:bCs w:val="0"/>
          <w:lang w:eastAsia="en-US"/>
        </w:rPr>
        <w:t>dkladových modelů a předpokladů</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aplikovaných při výpočtu technických rezerv,</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posuzování dostatečnosti a kvality údajů používaných při výpočtu technických rezerv,</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srovnávání hodnoty nejlepších odhadů se zkušeností,</w:t>
      </w:r>
    </w:p>
    <w:p w:rsidR="00870D29" w:rsidRDefault="00870D29" w:rsidP="003F4A6C">
      <w:pPr>
        <w:pStyle w:val="Stylslovanodstavec-mjTun"/>
        <w:numPr>
          <w:ilvl w:val="0"/>
          <w:numId w:val="15"/>
        </w:numPr>
        <w:spacing w:after="0"/>
        <w:rPr>
          <w:b w:val="0"/>
          <w:bCs w:val="0"/>
          <w:lang w:eastAsia="en-US"/>
        </w:rPr>
      </w:pPr>
      <w:r w:rsidRPr="00870D29">
        <w:rPr>
          <w:b w:val="0"/>
          <w:bCs w:val="0"/>
          <w:lang w:eastAsia="en-US"/>
        </w:rPr>
        <w:t>informování statutárního nebo kontrolního orgánu o spole</w:t>
      </w:r>
      <w:r>
        <w:rPr>
          <w:b w:val="0"/>
          <w:bCs w:val="0"/>
          <w:lang w:eastAsia="en-US"/>
        </w:rPr>
        <w:t>hlivosti a přiměřenosti výpočtu</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technických rezerv,</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dohlížení na výpočet technických a účetních rezerv podle § 52 až 57 zákona o pojišťovnictví,</w:t>
      </w:r>
    </w:p>
    <w:p w:rsidR="00870D29" w:rsidRDefault="00870D29" w:rsidP="003F4A6C">
      <w:pPr>
        <w:pStyle w:val="Stylslovanodstavec-mjTun"/>
        <w:numPr>
          <w:ilvl w:val="0"/>
          <w:numId w:val="15"/>
        </w:numPr>
        <w:spacing w:after="0"/>
        <w:rPr>
          <w:b w:val="0"/>
          <w:bCs w:val="0"/>
          <w:lang w:eastAsia="en-US"/>
        </w:rPr>
      </w:pPr>
      <w:r w:rsidRPr="00870D29">
        <w:rPr>
          <w:b w:val="0"/>
          <w:bCs w:val="0"/>
          <w:lang w:eastAsia="en-US"/>
        </w:rPr>
        <w:t>posuzování celkové koncepce upisování včetně způsobu stan</w:t>
      </w:r>
      <w:r>
        <w:rPr>
          <w:b w:val="0"/>
          <w:bCs w:val="0"/>
          <w:lang w:eastAsia="en-US"/>
        </w:rPr>
        <w:t>ovení sazeb pojistného a jejich</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přiměřenosti,</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posuzování přiměřenosti zajistných ujednání,</w:t>
      </w:r>
    </w:p>
    <w:p w:rsidR="00870D29" w:rsidRDefault="00870D29" w:rsidP="003F4A6C">
      <w:pPr>
        <w:pStyle w:val="Stylslovanodstavec-mjTun"/>
        <w:numPr>
          <w:ilvl w:val="0"/>
          <w:numId w:val="15"/>
        </w:numPr>
        <w:spacing w:after="0"/>
        <w:rPr>
          <w:b w:val="0"/>
          <w:bCs w:val="0"/>
          <w:lang w:eastAsia="en-US"/>
        </w:rPr>
      </w:pPr>
      <w:r w:rsidRPr="00870D29">
        <w:rPr>
          <w:b w:val="0"/>
          <w:bCs w:val="0"/>
          <w:lang w:eastAsia="en-US"/>
        </w:rPr>
        <w:t>činnosti přispívající k účinnosti systému řízení rizik, zejména konstrukci rizikových mode</w:t>
      </w:r>
      <w:r>
        <w:rPr>
          <w:b w:val="0"/>
          <w:bCs w:val="0"/>
          <w:lang w:eastAsia="en-US"/>
        </w:rPr>
        <w:t>lů,</w:t>
      </w:r>
    </w:p>
    <w:p w:rsidR="00870D29" w:rsidRDefault="00870D29" w:rsidP="003F4A6C">
      <w:pPr>
        <w:pStyle w:val="Stylslovanodstavec-mjTun"/>
        <w:numPr>
          <w:ilvl w:val="0"/>
          <w:numId w:val="15"/>
        </w:numPr>
        <w:spacing w:after="0"/>
        <w:rPr>
          <w:b w:val="0"/>
          <w:bCs w:val="0"/>
          <w:lang w:eastAsia="en-US"/>
        </w:rPr>
      </w:pPr>
      <w:r w:rsidRPr="00870D29">
        <w:rPr>
          <w:b w:val="0"/>
          <w:bCs w:val="0"/>
          <w:lang w:eastAsia="en-US"/>
        </w:rPr>
        <w:t xml:space="preserve">které jsou podkladem pro výpočet kapitálových požadavků </w:t>
      </w:r>
      <w:r>
        <w:rPr>
          <w:b w:val="0"/>
          <w:bCs w:val="0"/>
          <w:lang w:eastAsia="en-US"/>
        </w:rPr>
        <w:t>podle § 73 až 79b a pro vlastní</w:t>
      </w:r>
    </w:p>
    <w:p w:rsidR="00870D29" w:rsidRPr="00870D29" w:rsidRDefault="00870D29" w:rsidP="003F4A6C">
      <w:pPr>
        <w:pStyle w:val="Stylslovanodstavec-mjTun"/>
        <w:numPr>
          <w:ilvl w:val="0"/>
          <w:numId w:val="15"/>
        </w:numPr>
        <w:spacing w:after="0"/>
        <w:rPr>
          <w:b w:val="0"/>
          <w:bCs w:val="0"/>
          <w:lang w:eastAsia="en-US"/>
        </w:rPr>
      </w:pPr>
      <w:r w:rsidRPr="00870D29">
        <w:rPr>
          <w:b w:val="0"/>
          <w:bCs w:val="0"/>
          <w:lang w:eastAsia="en-US"/>
        </w:rPr>
        <w:t>posuzování rizik a solventnosti podle § 7c, a</w:t>
      </w:r>
    </w:p>
    <w:p w:rsidR="00870D29" w:rsidRDefault="00870D29" w:rsidP="00FE2AD4">
      <w:pPr>
        <w:rPr>
          <w:rFonts w:ascii="Times New Roman" w:hAnsi="Times New Roman" w:cs="Times New Roman"/>
          <w:b/>
          <w:sz w:val="28"/>
          <w:szCs w:val="28"/>
        </w:rPr>
      </w:pPr>
    </w:p>
    <w:p w:rsidR="00D7521E" w:rsidRPr="005A2945" w:rsidRDefault="00D7521E" w:rsidP="00D7521E">
      <w:pPr>
        <w:rPr>
          <w:rFonts w:ascii="Times New Roman" w:hAnsi="Times New Roman" w:cs="Times New Roman"/>
          <w:sz w:val="24"/>
          <w:szCs w:val="24"/>
        </w:rPr>
      </w:pPr>
      <w:r>
        <w:rPr>
          <w:rFonts w:ascii="Times New Roman" w:hAnsi="Times New Roman" w:cs="Times New Roman"/>
          <w:sz w:val="24"/>
          <w:szCs w:val="24"/>
        </w:rPr>
        <w:t>Zpráva o činnosti pojistněmatematické funkce za rok 2016 je přílohou číslo 4 této zprávy.</w:t>
      </w:r>
    </w:p>
    <w:p w:rsidR="00FE2AD4" w:rsidRDefault="00FE2AD4" w:rsidP="00FE2AD4">
      <w:pPr>
        <w:rPr>
          <w:rFonts w:ascii="Times New Roman" w:hAnsi="Times New Roman" w:cs="Times New Roman"/>
          <w:b/>
          <w:sz w:val="28"/>
          <w:szCs w:val="28"/>
        </w:rPr>
      </w:pPr>
      <w:r w:rsidRPr="00FE2AD4">
        <w:rPr>
          <w:rFonts w:ascii="Times New Roman" w:hAnsi="Times New Roman" w:cs="Times New Roman"/>
          <w:b/>
          <w:sz w:val="28"/>
          <w:szCs w:val="28"/>
        </w:rPr>
        <w:t>2.8</w:t>
      </w:r>
      <w:r w:rsidRPr="00FE2AD4">
        <w:rPr>
          <w:rFonts w:ascii="Times New Roman" w:hAnsi="Times New Roman" w:cs="Times New Roman"/>
          <w:b/>
          <w:sz w:val="28"/>
          <w:szCs w:val="28"/>
        </w:rPr>
        <w:tab/>
        <w:t>Externí zajištění služeb nebo činností</w:t>
      </w:r>
    </w:p>
    <w:p w:rsidR="00CC6496" w:rsidRDefault="00CC6496" w:rsidP="00FE2AD4">
      <w:pPr>
        <w:rPr>
          <w:rFonts w:ascii="Times New Roman" w:hAnsi="Times New Roman" w:cs="Times New Roman"/>
          <w:sz w:val="24"/>
          <w:szCs w:val="24"/>
        </w:rPr>
      </w:pPr>
      <w:r w:rsidRPr="00CC6496">
        <w:rPr>
          <w:rFonts w:ascii="Times New Roman" w:hAnsi="Times New Roman" w:cs="Times New Roman"/>
          <w:sz w:val="24"/>
          <w:szCs w:val="24"/>
        </w:rPr>
        <w:t>Jakýkoliv návrh na využití outsourcingu lze realizovat pouze se souhlasem představenstva Pojišťovny.  Představenstvo může předložený návrh na využití outsourcingu schválit či odmítnout.  Návrh předkládá ředitel organizační části, do jejíž působnosti náleží proces, služba nebo činnost, která má být outsourcovaná.</w:t>
      </w:r>
    </w:p>
    <w:p w:rsidR="00CC6496" w:rsidRPr="00CC6496" w:rsidRDefault="00CC6496" w:rsidP="00CC6496">
      <w:pPr>
        <w:jc w:val="both"/>
        <w:rPr>
          <w:rFonts w:ascii="Times New Roman" w:hAnsi="Times New Roman" w:cs="Times New Roman"/>
          <w:sz w:val="24"/>
          <w:szCs w:val="24"/>
        </w:rPr>
      </w:pPr>
      <w:r w:rsidRPr="00CC6496">
        <w:rPr>
          <w:rFonts w:ascii="Times New Roman" w:hAnsi="Times New Roman" w:cs="Times New Roman"/>
          <w:sz w:val="24"/>
          <w:szCs w:val="24"/>
        </w:rPr>
        <w:t>Odpovědnost za přípravu výběrového řízení, administraci a evidenci nese osoba pověřená řízením outsourcingu.</w:t>
      </w:r>
    </w:p>
    <w:p w:rsidR="00CC6496" w:rsidRPr="00CC6496" w:rsidRDefault="00CC6496" w:rsidP="00CC6496">
      <w:pPr>
        <w:rPr>
          <w:rFonts w:ascii="Times New Roman" w:hAnsi="Times New Roman" w:cs="Times New Roman"/>
          <w:b/>
          <w:sz w:val="24"/>
          <w:szCs w:val="24"/>
        </w:rPr>
      </w:pPr>
      <w:r w:rsidRPr="00CC6496">
        <w:rPr>
          <w:rFonts w:ascii="Times New Roman" w:hAnsi="Times New Roman" w:cs="Times New Roman"/>
          <w:sz w:val="24"/>
          <w:szCs w:val="24"/>
        </w:rPr>
        <w:t>Pojišťovna pravidelně vyhodnocuje poskytování outsourcingových služeb. Tyto revize jsou prováděny zaměstnanci Pojišťovny s odpovídající specializací a zkušenostmi, které představenstvo určí. Periodicita revizí je stanovena dle příslušné smlouvy o poskytování služeb outsourcingu. Rozsah kontroly se odvíjí od rozsahu a významnosti poskytovaných služeb a míry rizika, které outsourcing pro Pojišťovnu přináší.</w:t>
      </w:r>
    </w:p>
    <w:p w:rsidR="00CC6496" w:rsidRDefault="00CC6496" w:rsidP="00CC6496">
      <w:pPr>
        <w:rPr>
          <w:rFonts w:ascii="Times New Roman" w:hAnsi="Times New Roman" w:cs="Times New Roman"/>
          <w:sz w:val="24"/>
          <w:szCs w:val="24"/>
          <w:highlight w:val="red"/>
        </w:rPr>
      </w:pPr>
    </w:p>
    <w:tbl>
      <w:tblPr>
        <w:tblW w:w="5200" w:type="dxa"/>
        <w:jc w:val="center"/>
        <w:tblInd w:w="55" w:type="dxa"/>
        <w:tblCellMar>
          <w:left w:w="70" w:type="dxa"/>
          <w:right w:w="70" w:type="dxa"/>
        </w:tblCellMar>
        <w:tblLook w:val="04A0" w:firstRow="1" w:lastRow="0" w:firstColumn="1" w:lastColumn="0" w:noHBand="0" w:noVBand="1"/>
      </w:tblPr>
      <w:tblGrid>
        <w:gridCol w:w="3000"/>
        <w:gridCol w:w="2200"/>
      </w:tblGrid>
      <w:tr w:rsidR="00D7521E" w:rsidRPr="00D7521E" w:rsidTr="008424C3">
        <w:trPr>
          <w:trHeight w:val="300"/>
          <w:jc w:val="center"/>
        </w:trPr>
        <w:tc>
          <w:tcPr>
            <w:tcW w:w="300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7521E" w:rsidRPr="00D7521E" w:rsidRDefault="00D7521E" w:rsidP="00D7521E">
            <w:pPr>
              <w:spacing w:after="0" w:line="240" w:lineRule="auto"/>
              <w:jc w:val="center"/>
              <w:rPr>
                <w:rFonts w:ascii="Arial" w:eastAsia="Times New Roman" w:hAnsi="Arial" w:cs="Arial"/>
                <w:b/>
                <w:bCs/>
                <w:color w:val="FFFFFF"/>
                <w:sz w:val="18"/>
                <w:szCs w:val="18"/>
                <w:lang w:eastAsia="cs-CZ"/>
              </w:rPr>
            </w:pPr>
            <w:r w:rsidRPr="00D7521E">
              <w:rPr>
                <w:rFonts w:ascii="Arial" w:eastAsia="Times New Roman" w:hAnsi="Arial" w:cs="Arial"/>
                <w:b/>
                <w:bCs/>
                <w:color w:val="FFFFFF"/>
                <w:sz w:val="18"/>
                <w:szCs w:val="18"/>
                <w:lang w:eastAsia="cs-CZ"/>
              </w:rPr>
              <w:t>Poskytovatel</w:t>
            </w:r>
          </w:p>
        </w:tc>
        <w:tc>
          <w:tcPr>
            <w:tcW w:w="2200" w:type="dxa"/>
            <w:tcBorders>
              <w:top w:val="single" w:sz="4" w:space="0" w:color="auto"/>
              <w:left w:val="nil"/>
              <w:bottom w:val="single" w:sz="4" w:space="0" w:color="auto"/>
              <w:right w:val="single" w:sz="4" w:space="0" w:color="auto"/>
            </w:tcBorders>
            <w:shd w:val="clear" w:color="000000" w:fill="92D050"/>
            <w:vAlign w:val="center"/>
            <w:hideMark/>
          </w:tcPr>
          <w:p w:rsidR="00D7521E" w:rsidRPr="00D7521E" w:rsidRDefault="00D7521E" w:rsidP="00D7521E">
            <w:pPr>
              <w:spacing w:after="0" w:line="240" w:lineRule="auto"/>
              <w:jc w:val="center"/>
              <w:rPr>
                <w:rFonts w:ascii="Arial" w:eastAsia="Times New Roman" w:hAnsi="Arial" w:cs="Arial"/>
                <w:b/>
                <w:bCs/>
                <w:color w:val="FFFFFF"/>
                <w:sz w:val="18"/>
                <w:szCs w:val="18"/>
                <w:lang w:eastAsia="cs-CZ"/>
              </w:rPr>
            </w:pPr>
            <w:r w:rsidRPr="00D7521E">
              <w:rPr>
                <w:rFonts w:ascii="Arial" w:eastAsia="Times New Roman" w:hAnsi="Arial" w:cs="Arial"/>
                <w:b/>
                <w:bCs/>
                <w:color w:val="FFFFFF"/>
                <w:sz w:val="18"/>
                <w:szCs w:val="18"/>
                <w:lang w:eastAsia="cs-CZ"/>
              </w:rPr>
              <w:t>Služba</w:t>
            </w:r>
          </w:p>
        </w:tc>
      </w:tr>
      <w:tr w:rsidR="00D7521E" w:rsidRPr="00D7521E" w:rsidTr="008424C3">
        <w:trPr>
          <w:trHeight w:val="630"/>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1672CA">
              <w:rPr>
                <w:rFonts w:ascii="Times New Roman" w:eastAsia="Times New Roman" w:hAnsi="Times New Roman" w:cs="Times New Roman"/>
                <w:color w:val="000000"/>
                <w:sz w:val="24"/>
                <w:szCs w:val="24"/>
                <w:lang w:eastAsia="cs-CZ"/>
              </w:rPr>
              <w:t>AXIOM PROVIS Int., s.r.o</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xml:space="preserve">správa serveru a pojišťovacího SW </w:t>
            </w:r>
          </w:p>
        </w:tc>
      </w:tr>
      <w:tr w:rsidR="00D7521E" w:rsidRPr="00D7521E" w:rsidTr="008424C3">
        <w:trPr>
          <w:trHeight w:val="315"/>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1672CA">
              <w:rPr>
                <w:rFonts w:ascii="Times New Roman" w:eastAsia="Times New Roman" w:hAnsi="Times New Roman" w:cs="Times New Roman"/>
                <w:color w:val="000000"/>
                <w:sz w:val="24"/>
                <w:szCs w:val="24"/>
                <w:lang w:eastAsia="cs-CZ"/>
              </w:rPr>
              <w:t>Václav Staněk</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správa serverů</w:t>
            </w:r>
          </w:p>
        </w:tc>
      </w:tr>
      <w:tr w:rsidR="00D7521E" w:rsidRPr="00D7521E" w:rsidTr="008424C3">
        <w:trPr>
          <w:trHeight w:val="315"/>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1672CA">
              <w:rPr>
                <w:rFonts w:ascii="Times New Roman" w:eastAsia="Times New Roman" w:hAnsi="Times New Roman" w:cs="Times New Roman"/>
                <w:color w:val="000000"/>
                <w:sz w:val="24"/>
                <w:szCs w:val="24"/>
                <w:lang w:eastAsia="cs-CZ"/>
              </w:rPr>
              <w:t>AXIOM PROVIS Int., s.r.o.</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správa účetního SW</w:t>
            </w:r>
          </w:p>
        </w:tc>
      </w:tr>
      <w:tr w:rsidR="00D7521E" w:rsidRPr="00D7521E" w:rsidTr="008424C3">
        <w:trPr>
          <w:trHeight w:val="315"/>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1672CA">
              <w:rPr>
                <w:rFonts w:ascii="Times New Roman" w:eastAsia="Times New Roman" w:hAnsi="Times New Roman" w:cs="Times New Roman"/>
                <w:color w:val="000000"/>
                <w:sz w:val="24"/>
                <w:szCs w:val="24"/>
                <w:lang w:eastAsia="cs-CZ"/>
              </w:rPr>
              <w:t>Mgr. Helena Machálková</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právní služby</w:t>
            </w:r>
          </w:p>
        </w:tc>
      </w:tr>
      <w:tr w:rsidR="00D7521E" w:rsidRPr="00D7521E" w:rsidTr="008424C3">
        <w:trPr>
          <w:trHeight w:val="315"/>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Mgr. Roman Drápal</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pojistný matematik</w:t>
            </w:r>
          </w:p>
        </w:tc>
      </w:tr>
      <w:tr w:rsidR="00D7521E" w:rsidRPr="00D7521E" w:rsidTr="008424C3">
        <w:trPr>
          <w:trHeight w:val="315"/>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8546F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8546FE">
              <w:rPr>
                <w:rFonts w:ascii="Times New Roman" w:eastAsia="Times New Roman" w:hAnsi="Times New Roman" w:cs="Times New Roman"/>
                <w:color w:val="000000"/>
                <w:sz w:val="24"/>
                <w:szCs w:val="24"/>
                <w:lang w:eastAsia="cs-CZ"/>
              </w:rPr>
              <w:t>Kamila Boháčková</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interní auditor</w:t>
            </w:r>
          </w:p>
        </w:tc>
      </w:tr>
      <w:tr w:rsidR="00D7521E" w:rsidRPr="00D7521E" w:rsidTr="008424C3">
        <w:trPr>
          <w:trHeight w:val="630"/>
          <w:jc w:val="center"/>
        </w:trPr>
        <w:tc>
          <w:tcPr>
            <w:tcW w:w="3000" w:type="dxa"/>
            <w:tcBorders>
              <w:top w:val="nil"/>
              <w:left w:val="single" w:sz="4" w:space="0" w:color="auto"/>
              <w:bottom w:val="single" w:sz="4" w:space="0" w:color="auto"/>
              <w:right w:val="single" w:sz="4" w:space="0" w:color="auto"/>
            </w:tcBorders>
            <w:shd w:val="clear" w:color="auto" w:fill="auto"/>
            <w:vAlign w:val="center"/>
            <w:hideMark/>
          </w:tcPr>
          <w:p w:rsidR="00D7521E" w:rsidRPr="00D7521E" w:rsidRDefault="00D7521E" w:rsidP="001672CA">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 </w:t>
            </w:r>
            <w:r w:rsidR="001672CA">
              <w:rPr>
                <w:rFonts w:ascii="Times New Roman" w:eastAsia="Times New Roman" w:hAnsi="Times New Roman" w:cs="Times New Roman"/>
                <w:color w:val="000000"/>
                <w:sz w:val="24"/>
                <w:szCs w:val="24"/>
                <w:lang w:eastAsia="cs-CZ"/>
              </w:rPr>
              <w:t>Samohýl motor holding a.s.</w:t>
            </w:r>
          </w:p>
        </w:tc>
        <w:tc>
          <w:tcPr>
            <w:tcW w:w="2200" w:type="dxa"/>
            <w:tcBorders>
              <w:top w:val="nil"/>
              <w:left w:val="nil"/>
              <w:bottom w:val="single" w:sz="4" w:space="0" w:color="auto"/>
              <w:right w:val="single" w:sz="4" w:space="0" w:color="auto"/>
            </w:tcBorders>
            <w:shd w:val="clear" w:color="auto" w:fill="auto"/>
            <w:vAlign w:val="center"/>
            <w:hideMark/>
          </w:tcPr>
          <w:p w:rsidR="00D7521E" w:rsidRPr="00D7521E" w:rsidRDefault="00D7521E" w:rsidP="00D7521E">
            <w:pPr>
              <w:spacing w:after="0" w:line="240" w:lineRule="auto"/>
              <w:rPr>
                <w:rFonts w:ascii="Times New Roman" w:eastAsia="Times New Roman" w:hAnsi="Times New Roman" w:cs="Times New Roman"/>
                <w:color w:val="000000"/>
                <w:sz w:val="24"/>
                <w:szCs w:val="24"/>
                <w:lang w:eastAsia="cs-CZ"/>
              </w:rPr>
            </w:pPr>
            <w:r w:rsidRPr="00D7521E">
              <w:rPr>
                <w:rFonts w:ascii="Times New Roman" w:eastAsia="Times New Roman" w:hAnsi="Times New Roman" w:cs="Times New Roman"/>
                <w:color w:val="000000"/>
                <w:sz w:val="24"/>
                <w:szCs w:val="24"/>
                <w:lang w:eastAsia="cs-CZ"/>
              </w:rPr>
              <w:t>personalistika, mzdové účetnictví</w:t>
            </w:r>
          </w:p>
        </w:tc>
      </w:tr>
    </w:tbl>
    <w:p w:rsidR="00D7521E" w:rsidRDefault="00D7521E" w:rsidP="00CC6496">
      <w:pPr>
        <w:rPr>
          <w:rFonts w:ascii="Times New Roman" w:hAnsi="Times New Roman" w:cs="Times New Roman"/>
          <w:sz w:val="24"/>
          <w:szCs w:val="24"/>
          <w:highlight w:val="red"/>
        </w:rPr>
      </w:pPr>
    </w:p>
    <w:p w:rsidR="00D7521E" w:rsidRPr="005A2945" w:rsidRDefault="00D7521E" w:rsidP="00D7521E">
      <w:pPr>
        <w:rPr>
          <w:rFonts w:ascii="Times New Roman" w:hAnsi="Times New Roman" w:cs="Times New Roman"/>
          <w:sz w:val="24"/>
          <w:szCs w:val="24"/>
        </w:rPr>
      </w:pPr>
      <w:r w:rsidRPr="005A2945">
        <w:rPr>
          <w:rFonts w:ascii="Times New Roman" w:hAnsi="Times New Roman" w:cs="Times New Roman"/>
          <w:sz w:val="24"/>
          <w:szCs w:val="24"/>
        </w:rPr>
        <w:t>U všech těchto činností je zaveden dohled a odpovědné osoby. Ostatní outsourcované činnosti nejsou pro Pojišťovnu klíčové. Před rozhodnutím o zajištění činností externím způsobem pojišťovna důkladně posuzuje, zda potencionální poskytovatel služeb má schopnost, kapacitu a veškerá oprávnění vyžadována právními předpisy pro uspokojivé poskytování požadovaných funkcí s ohledem na cíle a potřeby pojišťovny. Pojišťovna tyto činnosti zajišťuje externě z důvodu jednak omezených kapacit, jednak efektivností a úsporností a jednak z důvodu vhodnějšího zavedení vnitřních kontrol v rámci společnosti.</w:t>
      </w:r>
    </w:p>
    <w:p w:rsidR="00FE2AD4" w:rsidRPr="00FE2AD4" w:rsidRDefault="00FE2AD4" w:rsidP="00FE2AD4">
      <w:pPr>
        <w:rPr>
          <w:rFonts w:ascii="Times New Roman" w:hAnsi="Times New Roman" w:cs="Times New Roman"/>
          <w:b/>
          <w:sz w:val="28"/>
          <w:szCs w:val="28"/>
        </w:rPr>
      </w:pPr>
      <w:r w:rsidRPr="00FE2AD4">
        <w:rPr>
          <w:rFonts w:ascii="Times New Roman" w:hAnsi="Times New Roman" w:cs="Times New Roman"/>
          <w:b/>
          <w:sz w:val="28"/>
          <w:szCs w:val="28"/>
        </w:rPr>
        <w:t>2.9</w:t>
      </w:r>
      <w:r w:rsidRPr="00FE2AD4">
        <w:rPr>
          <w:rFonts w:ascii="Times New Roman" w:hAnsi="Times New Roman" w:cs="Times New Roman"/>
          <w:b/>
          <w:sz w:val="28"/>
          <w:szCs w:val="28"/>
        </w:rPr>
        <w:tab/>
        <w:t>Další informace</w:t>
      </w:r>
    </w:p>
    <w:p w:rsidR="00FE2AD4" w:rsidRPr="00CC6496" w:rsidRDefault="00CC6496" w:rsidP="00FE2AD4">
      <w:pPr>
        <w:rPr>
          <w:rFonts w:ascii="Times New Roman" w:hAnsi="Times New Roman" w:cs="Times New Roman"/>
          <w:sz w:val="24"/>
          <w:szCs w:val="24"/>
        </w:rPr>
      </w:pPr>
      <w:r w:rsidRPr="00CC6496">
        <w:rPr>
          <w:rFonts w:ascii="Times New Roman" w:hAnsi="Times New Roman" w:cs="Times New Roman"/>
          <w:sz w:val="24"/>
          <w:szCs w:val="24"/>
        </w:rPr>
        <w:t>Všechny podstatné informace týkající se řídícího a kontrolního systému již byly zmíněny v předchozích odstavcích.</w:t>
      </w:r>
    </w:p>
    <w:p w:rsidR="009901EC" w:rsidRPr="009901EC" w:rsidRDefault="009901EC" w:rsidP="009901EC">
      <w:pPr>
        <w:rPr>
          <w:rFonts w:ascii="Times New Roman" w:hAnsi="Times New Roman" w:cs="Times New Roman"/>
          <w:b/>
          <w:sz w:val="28"/>
          <w:szCs w:val="28"/>
        </w:rPr>
      </w:pPr>
      <w:r w:rsidRPr="009901EC">
        <w:rPr>
          <w:rFonts w:ascii="Times New Roman" w:hAnsi="Times New Roman" w:cs="Times New Roman"/>
          <w:b/>
          <w:sz w:val="28"/>
          <w:szCs w:val="28"/>
        </w:rPr>
        <w:t>3</w:t>
      </w:r>
      <w:r w:rsidRPr="009901EC">
        <w:rPr>
          <w:rFonts w:ascii="Times New Roman" w:hAnsi="Times New Roman" w:cs="Times New Roman"/>
          <w:b/>
          <w:sz w:val="28"/>
          <w:szCs w:val="28"/>
        </w:rPr>
        <w:tab/>
        <w:t>Rizikový profil</w:t>
      </w:r>
    </w:p>
    <w:p w:rsidR="00C30A7A" w:rsidRDefault="00C30A7A" w:rsidP="00C30A7A">
      <w:pPr>
        <w:rPr>
          <w:rFonts w:ascii="Times New Roman" w:hAnsi="Times New Roman" w:cs="Times New Roman"/>
          <w:sz w:val="24"/>
          <w:szCs w:val="24"/>
        </w:rPr>
      </w:pPr>
      <w:r w:rsidRPr="00C30A7A">
        <w:rPr>
          <w:rFonts w:ascii="Times New Roman" w:hAnsi="Times New Roman" w:cs="Times New Roman"/>
          <w:sz w:val="24"/>
          <w:szCs w:val="24"/>
        </w:rPr>
        <w:t>Základní přístup pojišťovny ke kvantifikaci rizika vychází z výpočtu SCR</w:t>
      </w:r>
      <w:r>
        <w:rPr>
          <w:rFonts w:ascii="Times New Roman" w:hAnsi="Times New Roman" w:cs="Times New Roman"/>
          <w:sz w:val="24"/>
          <w:szCs w:val="24"/>
        </w:rPr>
        <w:t xml:space="preserve">. </w:t>
      </w:r>
      <w:r w:rsidRPr="00C30A7A">
        <w:rPr>
          <w:rFonts w:ascii="Times New Roman" w:hAnsi="Times New Roman" w:cs="Times New Roman"/>
          <w:sz w:val="24"/>
          <w:szCs w:val="24"/>
        </w:rPr>
        <w:t>Rozpad rizika do jednotlivých modulů standartní formule dle Solventnosti II je uveden v následující tabulce a jednotlivá rizika jsou podrobněji popsána v kapitole 3.1 až 3.5</w:t>
      </w:r>
    </w:p>
    <w:tbl>
      <w:tblPr>
        <w:tblW w:w="4561" w:type="dxa"/>
        <w:jc w:val="center"/>
        <w:tblInd w:w="55" w:type="dxa"/>
        <w:tblCellMar>
          <w:left w:w="70" w:type="dxa"/>
          <w:right w:w="70" w:type="dxa"/>
        </w:tblCellMar>
        <w:tblLook w:val="04A0" w:firstRow="1" w:lastRow="0" w:firstColumn="1" w:lastColumn="0" w:noHBand="0" w:noVBand="1"/>
      </w:tblPr>
      <w:tblGrid>
        <w:gridCol w:w="3481"/>
        <w:gridCol w:w="1080"/>
      </w:tblGrid>
      <w:tr w:rsidR="0004220B" w:rsidRPr="0004220B" w:rsidTr="00860B47">
        <w:trPr>
          <w:trHeight w:val="440"/>
          <w:jc w:val="center"/>
        </w:trPr>
        <w:tc>
          <w:tcPr>
            <w:tcW w:w="3481"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04220B" w:rsidRPr="0004220B" w:rsidRDefault="0004220B" w:rsidP="0004220B">
            <w:pPr>
              <w:spacing w:after="0" w:line="240" w:lineRule="auto"/>
              <w:jc w:val="center"/>
              <w:rPr>
                <w:rFonts w:ascii="Arial" w:eastAsia="Times New Roman" w:hAnsi="Arial" w:cs="Arial"/>
                <w:b/>
                <w:bCs/>
                <w:color w:val="FFFFFF"/>
                <w:sz w:val="18"/>
                <w:szCs w:val="18"/>
                <w:lang w:eastAsia="cs-CZ"/>
              </w:rPr>
            </w:pPr>
            <w:r w:rsidRPr="0004220B">
              <w:rPr>
                <w:rFonts w:ascii="Arial" w:eastAsia="Times New Roman" w:hAnsi="Arial" w:cs="Arial"/>
                <w:b/>
                <w:bCs/>
                <w:color w:val="FFFFFF"/>
                <w:sz w:val="18"/>
                <w:szCs w:val="18"/>
                <w:lang w:eastAsia="cs-CZ"/>
              </w:rPr>
              <w:t>Solventní kapitálový požadavek</w:t>
            </w:r>
            <w:r w:rsidR="00860B47">
              <w:rPr>
                <w:rFonts w:ascii="Arial" w:eastAsia="Times New Roman" w:hAnsi="Arial" w:cs="Arial"/>
                <w:b/>
                <w:bCs/>
                <w:color w:val="FFFFFF"/>
                <w:sz w:val="18"/>
                <w:szCs w:val="18"/>
                <w:lang w:eastAsia="cs-CZ"/>
              </w:rPr>
              <w:t xml:space="preserve"> t CZK</w:t>
            </w:r>
          </w:p>
        </w:tc>
        <w:tc>
          <w:tcPr>
            <w:tcW w:w="1080" w:type="dxa"/>
            <w:tcBorders>
              <w:top w:val="single" w:sz="8" w:space="0" w:color="auto"/>
              <w:left w:val="nil"/>
              <w:bottom w:val="single" w:sz="8" w:space="0" w:color="auto"/>
              <w:right w:val="single" w:sz="8" w:space="0" w:color="auto"/>
            </w:tcBorders>
            <w:shd w:val="clear" w:color="000000" w:fill="92D050"/>
            <w:vAlign w:val="center"/>
            <w:hideMark/>
          </w:tcPr>
          <w:p w:rsidR="0004220B" w:rsidRPr="0004220B" w:rsidRDefault="0004220B" w:rsidP="0004220B">
            <w:pPr>
              <w:spacing w:after="0" w:line="240" w:lineRule="auto"/>
              <w:jc w:val="center"/>
              <w:rPr>
                <w:rFonts w:ascii="Arial" w:eastAsia="Times New Roman" w:hAnsi="Arial" w:cs="Arial"/>
                <w:b/>
                <w:bCs/>
                <w:color w:val="FFFFFF"/>
                <w:sz w:val="18"/>
                <w:szCs w:val="18"/>
                <w:lang w:eastAsia="cs-CZ"/>
              </w:rPr>
            </w:pPr>
            <w:r w:rsidRPr="0004220B">
              <w:rPr>
                <w:rFonts w:ascii="Arial" w:eastAsia="Times New Roman" w:hAnsi="Arial" w:cs="Arial"/>
                <w:b/>
                <w:bCs/>
                <w:color w:val="FFFFFF"/>
                <w:sz w:val="18"/>
                <w:szCs w:val="18"/>
                <w:lang w:eastAsia="cs-CZ"/>
              </w:rPr>
              <w:t>2016</w:t>
            </w:r>
          </w:p>
        </w:tc>
      </w:tr>
      <w:tr w:rsidR="0004220B" w:rsidRPr="0004220B" w:rsidTr="00860B47">
        <w:trPr>
          <w:trHeight w:val="262"/>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Modul neživotního upisovacího rizika</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9 596</w:t>
            </w:r>
          </w:p>
        </w:tc>
      </w:tr>
      <w:tr w:rsidR="0004220B" w:rsidRPr="0004220B" w:rsidTr="00860B47">
        <w:trPr>
          <w:trHeight w:val="354"/>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Modul zdravotního upisovacího rizika</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0</w:t>
            </w:r>
          </w:p>
        </w:tc>
      </w:tr>
      <w:tr w:rsidR="0004220B" w:rsidRPr="0004220B" w:rsidTr="00860B47">
        <w:trPr>
          <w:trHeight w:val="400"/>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Modul tržního rizika</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12 488</w:t>
            </w:r>
          </w:p>
        </w:tc>
      </w:tr>
      <w:tr w:rsidR="0004220B" w:rsidRPr="0004220B" w:rsidTr="00860B47">
        <w:trPr>
          <w:trHeight w:val="264"/>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Modul rizika selhání protistrany</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10 331</w:t>
            </w:r>
          </w:p>
        </w:tc>
      </w:tr>
      <w:tr w:rsidR="0004220B" w:rsidRPr="0004220B" w:rsidTr="00860B47">
        <w:trPr>
          <w:trHeight w:val="254"/>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Modul rizika nehmotných aktiv</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0</w:t>
            </w:r>
          </w:p>
        </w:tc>
      </w:tr>
      <w:tr w:rsidR="0004220B" w:rsidRPr="0004220B" w:rsidTr="00860B47">
        <w:trPr>
          <w:trHeight w:val="272"/>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Operační riziko</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647</w:t>
            </w:r>
          </w:p>
        </w:tc>
      </w:tr>
      <w:tr w:rsidR="0004220B" w:rsidRPr="0004220B" w:rsidTr="00860B47">
        <w:trPr>
          <w:trHeight w:val="262"/>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Diverzifikační efekt</w:t>
            </w:r>
          </w:p>
        </w:tc>
        <w:tc>
          <w:tcPr>
            <w:tcW w:w="1080" w:type="dxa"/>
            <w:tcBorders>
              <w:top w:val="nil"/>
              <w:left w:val="nil"/>
              <w:bottom w:val="single" w:sz="8" w:space="0" w:color="auto"/>
              <w:right w:val="single" w:sz="8" w:space="0" w:color="auto"/>
            </w:tcBorders>
            <w:shd w:val="clear" w:color="auto" w:fill="auto"/>
            <w:vAlign w:val="center"/>
            <w:hideMark/>
          </w:tcPr>
          <w:p w:rsidR="0004220B" w:rsidRPr="0004220B" w:rsidRDefault="0004220B" w:rsidP="0004220B">
            <w:pPr>
              <w:spacing w:after="0" w:line="240" w:lineRule="auto"/>
              <w:jc w:val="right"/>
              <w:rPr>
                <w:rFonts w:ascii="Arial" w:eastAsia="Times New Roman" w:hAnsi="Arial" w:cs="Arial"/>
                <w:color w:val="000000"/>
                <w:sz w:val="18"/>
                <w:szCs w:val="18"/>
                <w:lang w:eastAsia="cs-CZ"/>
              </w:rPr>
            </w:pPr>
            <w:r w:rsidRPr="0004220B">
              <w:rPr>
                <w:rFonts w:ascii="Arial" w:eastAsia="Times New Roman" w:hAnsi="Arial" w:cs="Arial"/>
                <w:color w:val="000000"/>
                <w:sz w:val="18"/>
                <w:szCs w:val="18"/>
                <w:lang w:eastAsia="cs-CZ"/>
              </w:rPr>
              <w:t>-8 367</w:t>
            </w:r>
          </w:p>
        </w:tc>
      </w:tr>
      <w:tr w:rsidR="0004220B" w:rsidRPr="0004220B" w:rsidTr="00860B47">
        <w:trPr>
          <w:trHeight w:val="252"/>
          <w:jc w:val="center"/>
        </w:trPr>
        <w:tc>
          <w:tcPr>
            <w:tcW w:w="3481" w:type="dxa"/>
            <w:tcBorders>
              <w:top w:val="nil"/>
              <w:left w:val="single" w:sz="8" w:space="0" w:color="auto"/>
              <w:bottom w:val="single" w:sz="8" w:space="0" w:color="auto"/>
              <w:right w:val="single" w:sz="8" w:space="0" w:color="auto"/>
            </w:tcBorders>
            <w:shd w:val="clear" w:color="000000" w:fill="D9D9D9"/>
            <w:vAlign w:val="center"/>
            <w:hideMark/>
          </w:tcPr>
          <w:p w:rsidR="0004220B" w:rsidRPr="0004220B" w:rsidRDefault="0004220B" w:rsidP="0004220B">
            <w:pPr>
              <w:spacing w:after="0" w:line="240" w:lineRule="auto"/>
              <w:rPr>
                <w:rFonts w:ascii="Arial" w:eastAsia="Times New Roman" w:hAnsi="Arial" w:cs="Arial"/>
                <w:b/>
                <w:bCs/>
                <w:color w:val="000000"/>
                <w:sz w:val="18"/>
                <w:szCs w:val="18"/>
                <w:lang w:eastAsia="cs-CZ"/>
              </w:rPr>
            </w:pPr>
            <w:r w:rsidRPr="0004220B">
              <w:rPr>
                <w:rFonts w:ascii="Arial" w:eastAsia="Times New Roman" w:hAnsi="Arial" w:cs="Arial"/>
                <w:b/>
                <w:bCs/>
                <w:color w:val="000000"/>
                <w:sz w:val="18"/>
                <w:szCs w:val="18"/>
                <w:lang w:eastAsia="cs-CZ"/>
              </w:rPr>
              <w:t xml:space="preserve">Celkem </w:t>
            </w:r>
          </w:p>
        </w:tc>
        <w:tc>
          <w:tcPr>
            <w:tcW w:w="1080" w:type="dxa"/>
            <w:tcBorders>
              <w:top w:val="nil"/>
              <w:left w:val="nil"/>
              <w:bottom w:val="single" w:sz="8" w:space="0" w:color="auto"/>
              <w:right w:val="single" w:sz="8" w:space="0" w:color="auto"/>
            </w:tcBorders>
            <w:shd w:val="clear" w:color="000000" w:fill="D9D9D9"/>
            <w:vAlign w:val="center"/>
            <w:hideMark/>
          </w:tcPr>
          <w:p w:rsidR="0004220B" w:rsidRPr="0004220B" w:rsidRDefault="0004220B" w:rsidP="0004220B">
            <w:pPr>
              <w:spacing w:after="0" w:line="240" w:lineRule="auto"/>
              <w:jc w:val="right"/>
              <w:rPr>
                <w:rFonts w:ascii="Arial" w:eastAsia="Times New Roman" w:hAnsi="Arial" w:cs="Arial"/>
                <w:b/>
                <w:bCs/>
                <w:color w:val="000000"/>
                <w:sz w:val="18"/>
                <w:szCs w:val="18"/>
                <w:lang w:eastAsia="cs-CZ"/>
              </w:rPr>
            </w:pPr>
            <w:r w:rsidRPr="0004220B">
              <w:rPr>
                <w:rFonts w:ascii="Arial" w:eastAsia="Times New Roman" w:hAnsi="Arial" w:cs="Arial"/>
                <w:b/>
                <w:bCs/>
                <w:color w:val="000000"/>
                <w:sz w:val="18"/>
                <w:szCs w:val="18"/>
                <w:lang w:eastAsia="cs-CZ"/>
              </w:rPr>
              <w:t>24 695</w:t>
            </w:r>
          </w:p>
        </w:tc>
      </w:tr>
    </w:tbl>
    <w:p w:rsidR="00C30A7A" w:rsidRPr="00D943AB" w:rsidRDefault="00C30A7A" w:rsidP="00C30A7A">
      <w:pPr>
        <w:rPr>
          <w:rFonts w:ascii="Times New Roman" w:hAnsi="Times New Roman" w:cs="Times New Roman"/>
          <w:sz w:val="24"/>
          <w:szCs w:val="24"/>
        </w:rPr>
      </w:pPr>
      <w:r>
        <w:rPr>
          <w:rFonts w:ascii="Times New Roman" w:hAnsi="Times New Roman" w:cs="Times New Roman"/>
          <w:sz w:val="24"/>
          <w:szCs w:val="24"/>
        </w:rPr>
        <w:t xml:space="preserve"> </w:t>
      </w:r>
    </w:p>
    <w:p w:rsidR="00DF3802" w:rsidRDefault="00DF3802" w:rsidP="00322A92">
      <w:pPr>
        <w:rPr>
          <w:rFonts w:ascii="Times New Roman" w:hAnsi="Times New Roman" w:cs="Times New Roman"/>
          <w:b/>
          <w:sz w:val="28"/>
          <w:szCs w:val="28"/>
        </w:rPr>
      </w:pPr>
      <w:r w:rsidRPr="00322A92">
        <w:rPr>
          <w:rFonts w:ascii="Times New Roman" w:hAnsi="Times New Roman" w:cs="Times New Roman"/>
          <w:b/>
          <w:sz w:val="28"/>
          <w:szCs w:val="28"/>
        </w:rPr>
        <w:t>3.</w:t>
      </w:r>
      <w:r w:rsidR="002927EF">
        <w:rPr>
          <w:rFonts w:ascii="Times New Roman" w:hAnsi="Times New Roman" w:cs="Times New Roman"/>
          <w:b/>
          <w:sz w:val="28"/>
          <w:szCs w:val="28"/>
        </w:rPr>
        <w:t>1</w:t>
      </w:r>
      <w:r w:rsidRPr="00322A92">
        <w:rPr>
          <w:rFonts w:ascii="Times New Roman" w:hAnsi="Times New Roman" w:cs="Times New Roman"/>
          <w:b/>
          <w:sz w:val="28"/>
          <w:szCs w:val="28"/>
        </w:rPr>
        <w:tab/>
      </w:r>
      <w:r>
        <w:rPr>
          <w:rFonts w:ascii="Times New Roman" w:hAnsi="Times New Roman" w:cs="Times New Roman"/>
          <w:b/>
          <w:sz w:val="28"/>
          <w:szCs w:val="28"/>
        </w:rPr>
        <w:t>Tržní riziko</w:t>
      </w:r>
    </w:p>
    <w:p w:rsidR="00DF3802" w:rsidRDefault="00DF3802" w:rsidP="00322A92">
      <w:pPr>
        <w:rPr>
          <w:rFonts w:ascii="Times New Roman" w:hAnsi="Times New Roman" w:cs="Times New Roman"/>
          <w:sz w:val="24"/>
          <w:szCs w:val="24"/>
        </w:rPr>
      </w:pPr>
      <w:r>
        <w:rPr>
          <w:rFonts w:ascii="Times New Roman" w:hAnsi="Times New Roman" w:cs="Times New Roman"/>
          <w:sz w:val="24"/>
          <w:szCs w:val="24"/>
        </w:rPr>
        <w:t>N</w:t>
      </w:r>
      <w:r w:rsidRPr="00DF3802">
        <w:rPr>
          <w:rFonts w:ascii="Times New Roman" w:hAnsi="Times New Roman" w:cs="Times New Roman"/>
          <w:sz w:val="24"/>
          <w:szCs w:val="24"/>
        </w:rPr>
        <w:t xml:space="preserve">ejvýznamnějším SCR rizikem </w:t>
      </w:r>
      <w:r>
        <w:rPr>
          <w:rFonts w:ascii="Times New Roman" w:hAnsi="Times New Roman" w:cs="Times New Roman"/>
          <w:sz w:val="24"/>
          <w:szCs w:val="24"/>
        </w:rPr>
        <w:t xml:space="preserve">je </w:t>
      </w:r>
      <w:r w:rsidRPr="00DF3802">
        <w:rPr>
          <w:rFonts w:ascii="Times New Roman" w:hAnsi="Times New Roman" w:cs="Times New Roman"/>
          <w:sz w:val="24"/>
          <w:szCs w:val="24"/>
        </w:rPr>
        <w:t>tržní</w:t>
      </w:r>
      <w:r>
        <w:rPr>
          <w:rFonts w:ascii="Times New Roman" w:hAnsi="Times New Roman" w:cs="Times New Roman"/>
          <w:sz w:val="24"/>
          <w:szCs w:val="24"/>
        </w:rPr>
        <w:t xml:space="preserve"> riziko. </w:t>
      </w:r>
      <w:r w:rsidRPr="00DF3802">
        <w:rPr>
          <w:rFonts w:ascii="Times New Roman" w:hAnsi="Times New Roman" w:cs="Times New Roman"/>
          <w:sz w:val="24"/>
          <w:szCs w:val="24"/>
        </w:rPr>
        <w:t>Z tržních rizik je nejvýznamnější nemovitostní riziko a dále pak riziko koncentrace, které je také ovlivněno nemovitostmi</w:t>
      </w:r>
      <w:r>
        <w:rPr>
          <w:rFonts w:ascii="Times New Roman" w:hAnsi="Times New Roman" w:cs="Times New Roman"/>
          <w:sz w:val="24"/>
          <w:szCs w:val="24"/>
        </w:rPr>
        <w:t xml:space="preserve">. </w:t>
      </w:r>
      <w:r w:rsidRPr="00DF3802">
        <w:rPr>
          <w:rFonts w:ascii="Times New Roman" w:hAnsi="Times New Roman" w:cs="Times New Roman"/>
          <w:sz w:val="24"/>
          <w:szCs w:val="24"/>
        </w:rPr>
        <w:t>Výše kapitálového požadavku pro modul tržních rizik je uvedena v následující tabulce.</w:t>
      </w:r>
    </w:p>
    <w:tbl>
      <w:tblPr>
        <w:tblW w:w="4272" w:type="dxa"/>
        <w:jc w:val="center"/>
        <w:tblInd w:w="55" w:type="dxa"/>
        <w:tblCellMar>
          <w:left w:w="70" w:type="dxa"/>
          <w:right w:w="70" w:type="dxa"/>
        </w:tblCellMar>
        <w:tblLook w:val="04A0" w:firstRow="1" w:lastRow="0" w:firstColumn="1" w:lastColumn="0" w:noHBand="0" w:noVBand="1"/>
      </w:tblPr>
      <w:tblGrid>
        <w:gridCol w:w="3481"/>
        <w:gridCol w:w="791"/>
      </w:tblGrid>
      <w:tr w:rsidR="00860B47" w:rsidRPr="00860B47" w:rsidTr="00860B47">
        <w:trPr>
          <w:trHeight w:val="495"/>
          <w:jc w:val="center"/>
        </w:trPr>
        <w:tc>
          <w:tcPr>
            <w:tcW w:w="3481"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860B47" w:rsidRPr="00860B47" w:rsidRDefault="00860B47" w:rsidP="00860B47">
            <w:pPr>
              <w:spacing w:after="0" w:line="240" w:lineRule="auto"/>
              <w:jc w:val="center"/>
              <w:rPr>
                <w:rFonts w:ascii="Arial" w:eastAsia="Times New Roman" w:hAnsi="Arial" w:cs="Arial"/>
                <w:b/>
                <w:bCs/>
                <w:color w:val="FFFFFF"/>
                <w:sz w:val="18"/>
                <w:szCs w:val="18"/>
                <w:lang w:eastAsia="cs-CZ"/>
              </w:rPr>
            </w:pPr>
            <w:r w:rsidRPr="00860B47">
              <w:rPr>
                <w:rFonts w:ascii="Arial" w:eastAsia="Times New Roman" w:hAnsi="Arial" w:cs="Arial"/>
                <w:b/>
                <w:bCs/>
                <w:color w:val="FFFFFF"/>
                <w:sz w:val="18"/>
                <w:szCs w:val="18"/>
                <w:lang w:eastAsia="cs-CZ"/>
              </w:rPr>
              <w:t>Solventní kapitálový požadavek t CZK</w:t>
            </w:r>
          </w:p>
        </w:tc>
        <w:tc>
          <w:tcPr>
            <w:tcW w:w="791" w:type="dxa"/>
            <w:tcBorders>
              <w:top w:val="single" w:sz="8" w:space="0" w:color="auto"/>
              <w:left w:val="nil"/>
              <w:bottom w:val="single" w:sz="8" w:space="0" w:color="auto"/>
              <w:right w:val="single" w:sz="8" w:space="0" w:color="auto"/>
            </w:tcBorders>
            <w:shd w:val="clear" w:color="000000" w:fill="92D050"/>
            <w:vAlign w:val="center"/>
            <w:hideMark/>
          </w:tcPr>
          <w:p w:rsidR="00860B47" w:rsidRPr="00860B47" w:rsidRDefault="00860B47" w:rsidP="00860B47">
            <w:pPr>
              <w:spacing w:after="0" w:line="240" w:lineRule="auto"/>
              <w:jc w:val="center"/>
              <w:rPr>
                <w:rFonts w:ascii="Arial" w:eastAsia="Times New Roman" w:hAnsi="Arial" w:cs="Arial"/>
                <w:b/>
                <w:bCs/>
                <w:color w:val="FFFFFF"/>
                <w:sz w:val="18"/>
                <w:szCs w:val="18"/>
                <w:lang w:eastAsia="cs-CZ"/>
              </w:rPr>
            </w:pPr>
            <w:r w:rsidRPr="00860B47">
              <w:rPr>
                <w:rFonts w:ascii="Arial" w:eastAsia="Times New Roman" w:hAnsi="Arial" w:cs="Arial"/>
                <w:b/>
                <w:bCs/>
                <w:color w:val="FFFFFF"/>
                <w:sz w:val="18"/>
                <w:szCs w:val="18"/>
                <w:lang w:eastAsia="cs-CZ"/>
              </w:rPr>
              <w:t>2016</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Úrokové riziko</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1 046</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Akciové riziko</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0</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Nemovitostní riziko</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11 147</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Riziko kreditního rozpětí</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754</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Měnové riziko</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0</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Koncentrace tržních rizik</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4 649</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Diversifikace</w:t>
            </w:r>
          </w:p>
        </w:tc>
        <w:tc>
          <w:tcPr>
            <w:tcW w:w="791" w:type="dxa"/>
            <w:tcBorders>
              <w:top w:val="nil"/>
              <w:left w:val="nil"/>
              <w:bottom w:val="single" w:sz="8" w:space="0" w:color="auto"/>
              <w:right w:val="single" w:sz="8" w:space="0" w:color="auto"/>
            </w:tcBorders>
            <w:shd w:val="clear" w:color="auto" w:fill="auto"/>
            <w:vAlign w:val="center"/>
            <w:hideMark/>
          </w:tcPr>
          <w:p w:rsidR="00860B47" w:rsidRPr="00860B47" w:rsidRDefault="00860B47" w:rsidP="00860B47">
            <w:pPr>
              <w:spacing w:after="0" w:line="240" w:lineRule="auto"/>
              <w:jc w:val="right"/>
              <w:rPr>
                <w:rFonts w:ascii="Arial" w:eastAsia="Times New Roman" w:hAnsi="Arial" w:cs="Arial"/>
                <w:color w:val="000000"/>
                <w:sz w:val="18"/>
                <w:szCs w:val="18"/>
                <w:lang w:eastAsia="cs-CZ"/>
              </w:rPr>
            </w:pPr>
            <w:r w:rsidRPr="00860B47">
              <w:rPr>
                <w:rFonts w:ascii="Arial" w:eastAsia="Times New Roman" w:hAnsi="Arial" w:cs="Arial"/>
                <w:color w:val="000000"/>
                <w:sz w:val="18"/>
                <w:szCs w:val="18"/>
                <w:lang w:eastAsia="cs-CZ"/>
              </w:rPr>
              <w:t>-5 109</w:t>
            </w:r>
          </w:p>
        </w:tc>
      </w:tr>
      <w:tr w:rsidR="00860B47" w:rsidRPr="00860B47" w:rsidTr="00860B47">
        <w:trPr>
          <w:trHeight w:val="315"/>
          <w:jc w:val="center"/>
        </w:trPr>
        <w:tc>
          <w:tcPr>
            <w:tcW w:w="3481" w:type="dxa"/>
            <w:tcBorders>
              <w:top w:val="nil"/>
              <w:left w:val="single" w:sz="8" w:space="0" w:color="auto"/>
              <w:bottom w:val="single" w:sz="8" w:space="0" w:color="auto"/>
              <w:right w:val="single" w:sz="8" w:space="0" w:color="auto"/>
            </w:tcBorders>
            <w:shd w:val="clear" w:color="000000" w:fill="D9D9D9"/>
            <w:vAlign w:val="center"/>
            <w:hideMark/>
          </w:tcPr>
          <w:p w:rsidR="00860B47" w:rsidRPr="00860B47" w:rsidRDefault="00860B47" w:rsidP="00860B47">
            <w:pPr>
              <w:spacing w:after="0" w:line="240" w:lineRule="auto"/>
              <w:rPr>
                <w:rFonts w:ascii="Arial" w:eastAsia="Times New Roman" w:hAnsi="Arial" w:cs="Arial"/>
                <w:b/>
                <w:bCs/>
                <w:color w:val="000000"/>
                <w:sz w:val="18"/>
                <w:szCs w:val="18"/>
                <w:lang w:eastAsia="cs-CZ"/>
              </w:rPr>
            </w:pPr>
            <w:r w:rsidRPr="00860B47">
              <w:rPr>
                <w:rFonts w:ascii="Arial" w:eastAsia="Times New Roman" w:hAnsi="Arial" w:cs="Arial"/>
                <w:b/>
                <w:bCs/>
                <w:color w:val="000000"/>
                <w:sz w:val="18"/>
                <w:szCs w:val="18"/>
                <w:lang w:eastAsia="cs-CZ"/>
              </w:rPr>
              <w:t>Tržní riziko celkem</w:t>
            </w:r>
          </w:p>
        </w:tc>
        <w:tc>
          <w:tcPr>
            <w:tcW w:w="791" w:type="dxa"/>
            <w:tcBorders>
              <w:top w:val="nil"/>
              <w:left w:val="nil"/>
              <w:bottom w:val="single" w:sz="8" w:space="0" w:color="auto"/>
              <w:right w:val="single" w:sz="8" w:space="0" w:color="auto"/>
            </w:tcBorders>
            <w:shd w:val="clear" w:color="000000" w:fill="D9D9D9"/>
            <w:vAlign w:val="center"/>
            <w:hideMark/>
          </w:tcPr>
          <w:p w:rsidR="00860B47" w:rsidRPr="00860B47" w:rsidRDefault="00860B47" w:rsidP="00860B47">
            <w:pPr>
              <w:spacing w:after="0" w:line="240" w:lineRule="auto"/>
              <w:jc w:val="right"/>
              <w:rPr>
                <w:rFonts w:ascii="Arial" w:eastAsia="Times New Roman" w:hAnsi="Arial" w:cs="Arial"/>
                <w:b/>
                <w:bCs/>
                <w:color w:val="000000"/>
                <w:sz w:val="18"/>
                <w:szCs w:val="18"/>
                <w:lang w:eastAsia="cs-CZ"/>
              </w:rPr>
            </w:pPr>
            <w:r w:rsidRPr="00860B47">
              <w:rPr>
                <w:rFonts w:ascii="Arial" w:eastAsia="Times New Roman" w:hAnsi="Arial" w:cs="Arial"/>
                <w:b/>
                <w:bCs/>
                <w:color w:val="000000"/>
                <w:sz w:val="18"/>
                <w:szCs w:val="18"/>
                <w:lang w:eastAsia="cs-CZ"/>
              </w:rPr>
              <w:t>12 488</w:t>
            </w:r>
          </w:p>
        </w:tc>
      </w:tr>
    </w:tbl>
    <w:p w:rsidR="005D076B" w:rsidRDefault="005D076B" w:rsidP="00322A92">
      <w:pPr>
        <w:rPr>
          <w:rFonts w:ascii="Times New Roman" w:hAnsi="Times New Roman" w:cs="Times New Roman"/>
          <w:sz w:val="24"/>
          <w:szCs w:val="24"/>
        </w:rPr>
      </w:pPr>
    </w:p>
    <w:p w:rsidR="00E236FB" w:rsidRDefault="00E236FB" w:rsidP="00E236FB">
      <w:pPr>
        <w:pStyle w:val="Zkladntext"/>
        <w:rPr>
          <w:rFonts w:cs="Arial"/>
          <w:sz w:val="20"/>
        </w:rPr>
      </w:pPr>
      <w:r w:rsidRPr="00322A92">
        <w:rPr>
          <w:rFonts w:ascii="Times New Roman" w:hAnsi="Times New Roman"/>
          <w:b/>
          <w:sz w:val="28"/>
          <w:szCs w:val="28"/>
        </w:rPr>
        <w:t>3.</w:t>
      </w:r>
      <w:r>
        <w:rPr>
          <w:rFonts w:ascii="Times New Roman" w:hAnsi="Times New Roman"/>
          <w:b/>
          <w:sz w:val="28"/>
          <w:szCs w:val="28"/>
        </w:rPr>
        <w:t>2</w:t>
      </w:r>
      <w:r w:rsidRPr="00322A92">
        <w:rPr>
          <w:rFonts w:ascii="Times New Roman" w:hAnsi="Times New Roman"/>
          <w:b/>
          <w:sz w:val="28"/>
          <w:szCs w:val="28"/>
        </w:rPr>
        <w:tab/>
      </w:r>
      <w:r>
        <w:rPr>
          <w:rFonts w:ascii="Times New Roman" w:hAnsi="Times New Roman"/>
          <w:b/>
          <w:sz w:val="28"/>
          <w:szCs w:val="28"/>
        </w:rPr>
        <w:t>Kreditní riziko</w:t>
      </w:r>
    </w:p>
    <w:p w:rsidR="00E236FB" w:rsidRPr="00996798" w:rsidRDefault="00E236FB" w:rsidP="00E236FB">
      <w:pPr>
        <w:rPr>
          <w:rFonts w:ascii="Times New Roman" w:hAnsi="Times New Roman" w:cs="Times New Roman"/>
          <w:sz w:val="24"/>
          <w:szCs w:val="24"/>
        </w:rPr>
      </w:pPr>
      <w:r w:rsidRPr="00996798">
        <w:rPr>
          <w:rFonts w:ascii="Times New Roman" w:hAnsi="Times New Roman" w:cs="Times New Roman"/>
          <w:sz w:val="24"/>
          <w:szCs w:val="24"/>
        </w:rPr>
        <w:t>Mezi úvěrové riziko Pojišťovna řadí riziko selhání protistrany, úvěrová rizika související s cennými papíry jsou vyhodnocena v rámci tržních rizik.</w:t>
      </w:r>
      <w:r w:rsidRPr="00996798">
        <w:t xml:space="preserve"> </w:t>
      </w:r>
      <w:r w:rsidRPr="00996798">
        <w:rPr>
          <w:rFonts w:ascii="Times New Roman" w:hAnsi="Times New Roman" w:cs="Times New Roman"/>
          <w:sz w:val="24"/>
          <w:szCs w:val="24"/>
        </w:rPr>
        <w:t>Expozice typu 1:</w:t>
      </w:r>
    </w:p>
    <w:p w:rsidR="00E236FB" w:rsidRPr="00996798" w:rsidRDefault="00E236FB" w:rsidP="00E236FB">
      <w:pPr>
        <w:rPr>
          <w:rFonts w:ascii="Times New Roman" w:hAnsi="Times New Roman" w:cs="Times New Roman"/>
          <w:sz w:val="24"/>
          <w:szCs w:val="24"/>
        </w:rPr>
      </w:pPr>
      <w:r>
        <w:rPr>
          <w:rFonts w:ascii="Times New Roman" w:hAnsi="Times New Roman" w:cs="Times New Roman"/>
          <w:sz w:val="24"/>
          <w:szCs w:val="24"/>
        </w:rPr>
        <w:t xml:space="preserve">Nejvýznamnější </w:t>
      </w:r>
      <w:r w:rsidRPr="00996798">
        <w:rPr>
          <w:rFonts w:ascii="Times New Roman" w:hAnsi="Times New Roman" w:cs="Times New Roman"/>
          <w:sz w:val="24"/>
          <w:szCs w:val="24"/>
        </w:rPr>
        <w:t>skupinu mezi expozicemi typu 1 tvoří bankovní účty, kdy jde převážně o účty pro provozní účely.</w:t>
      </w:r>
      <w:r>
        <w:rPr>
          <w:rFonts w:ascii="Times New Roman" w:hAnsi="Times New Roman" w:cs="Times New Roman"/>
          <w:sz w:val="24"/>
          <w:szCs w:val="24"/>
        </w:rPr>
        <w:t xml:space="preserve"> Další </w:t>
      </w:r>
      <w:r w:rsidRPr="00996798">
        <w:rPr>
          <w:rFonts w:ascii="Times New Roman" w:hAnsi="Times New Roman" w:cs="Times New Roman"/>
          <w:sz w:val="24"/>
          <w:szCs w:val="24"/>
        </w:rPr>
        <w:t>expozice vyplývají ze zajištění ať z již vzniklých škodních událostí, tak i z potenciálních budoucích událostí. Dojde-li k selhání zajistitele, nezbavuje to pojišťovnu povinnosti hradit škody klientovi, a proto Pojišťovna vyhodnocuje riziko selhání zajistitele.</w:t>
      </w:r>
    </w:p>
    <w:p w:rsidR="00E236FB" w:rsidRPr="00996798" w:rsidRDefault="00E236FB" w:rsidP="00E236FB">
      <w:pPr>
        <w:rPr>
          <w:rFonts w:ascii="Times New Roman" w:hAnsi="Times New Roman" w:cs="Times New Roman"/>
          <w:sz w:val="24"/>
          <w:szCs w:val="24"/>
        </w:rPr>
      </w:pPr>
      <w:r w:rsidRPr="00996798">
        <w:rPr>
          <w:rFonts w:ascii="Times New Roman" w:hAnsi="Times New Roman" w:cs="Times New Roman"/>
          <w:sz w:val="24"/>
          <w:szCs w:val="24"/>
        </w:rPr>
        <w:t xml:space="preserve">Mezi expozice typu 2 patří především </w:t>
      </w:r>
      <w:r w:rsidR="00864FEE">
        <w:rPr>
          <w:rFonts w:ascii="Times New Roman" w:hAnsi="Times New Roman" w:cs="Times New Roman"/>
          <w:sz w:val="24"/>
          <w:szCs w:val="24"/>
        </w:rPr>
        <w:t xml:space="preserve">půjčky, </w:t>
      </w:r>
      <w:r w:rsidRPr="00996798">
        <w:rPr>
          <w:rFonts w:ascii="Times New Roman" w:hAnsi="Times New Roman" w:cs="Times New Roman"/>
          <w:sz w:val="24"/>
          <w:szCs w:val="24"/>
        </w:rPr>
        <w:t xml:space="preserve">pohledávky z pojišťovací činnosti nebo obchodního styku. </w:t>
      </w:r>
      <w:r w:rsidR="00864FEE">
        <w:rPr>
          <w:rFonts w:ascii="Times New Roman" w:hAnsi="Times New Roman" w:cs="Times New Roman"/>
          <w:sz w:val="24"/>
          <w:szCs w:val="24"/>
        </w:rPr>
        <w:t>Nejvýznamnější položkou jsou půjčky podnikům ve skupině.</w:t>
      </w:r>
      <w:r w:rsidRPr="00996798">
        <w:rPr>
          <w:rFonts w:ascii="Times New Roman" w:hAnsi="Times New Roman" w:cs="Times New Roman"/>
          <w:sz w:val="24"/>
          <w:szCs w:val="24"/>
        </w:rPr>
        <w:t xml:space="preserve"> </w:t>
      </w:r>
    </w:p>
    <w:p w:rsidR="00E236FB" w:rsidRDefault="00E236FB" w:rsidP="00E236FB">
      <w:pPr>
        <w:rPr>
          <w:rFonts w:ascii="Times New Roman" w:hAnsi="Times New Roman" w:cs="Times New Roman"/>
          <w:sz w:val="24"/>
          <w:szCs w:val="24"/>
        </w:rPr>
      </w:pPr>
      <w:r w:rsidRPr="00996798">
        <w:rPr>
          <w:rFonts w:ascii="Times New Roman" w:hAnsi="Times New Roman" w:cs="Times New Roman"/>
          <w:sz w:val="24"/>
          <w:szCs w:val="24"/>
        </w:rPr>
        <w:t>Výše kapitálového požadavku pro modul selhání protistrany je uvedena v následující tabulce.</w:t>
      </w:r>
      <w:r>
        <w:rPr>
          <w:rFonts w:ascii="Times New Roman" w:hAnsi="Times New Roman" w:cs="Times New Roman"/>
          <w:sz w:val="24"/>
          <w:szCs w:val="24"/>
        </w:rPr>
        <w:t xml:space="preserve"> </w:t>
      </w:r>
    </w:p>
    <w:tbl>
      <w:tblPr>
        <w:tblW w:w="3620" w:type="dxa"/>
        <w:jc w:val="center"/>
        <w:tblInd w:w="55" w:type="dxa"/>
        <w:tblCellMar>
          <w:left w:w="70" w:type="dxa"/>
          <w:right w:w="70" w:type="dxa"/>
        </w:tblCellMar>
        <w:tblLook w:val="04A0" w:firstRow="1" w:lastRow="0" w:firstColumn="1" w:lastColumn="0" w:noHBand="0" w:noVBand="1"/>
      </w:tblPr>
      <w:tblGrid>
        <w:gridCol w:w="2640"/>
        <w:gridCol w:w="980"/>
      </w:tblGrid>
      <w:tr w:rsidR="00E236FB" w:rsidRPr="00E236FB" w:rsidTr="00864FEE">
        <w:trPr>
          <w:trHeight w:val="315"/>
          <w:jc w:val="center"/>
        </w:trPr>
        <w:tc>
          <w:tcPr>
            <w:tcW w:w="264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E236FB" w:rsidRPr="00E236FB" w:rsidRDefault="00E236FB" w:rsidP="00735CB1">
            <w:pPr>
              <w:spacing w:after="0" w:line="240" w:lineRule="auto"/>
              <w:rPr>
                <w:rFonts w:ascii="Arial" w:eastAsia="Times New Roman" w:hAnsi="Arial" w:cs="Arial"/>
                <w:b/>
                <w:bCs/>
                <w:color w:val="FFFFFF"/>
                <w:sz w:val="18"/>
                <w:szCs w:val="18"/>
                <w:lang w:eastAsia="cs-CZ"/>
              </w:rPr>
            </w:pPr>
            <w:r w:rsidRPr="00E236FB">
              <w:rPr>
                <w:rFonts w:ascii="Arial" w:eastAsia="Times New Roman" w:hAnsi="Arial" w:cs="Arial"/>
                <w:b/>
                <w:bCs/>
                <w:color w:val="FFFFFF"/>
                <w:sz w:val="18"/>
                <w:szCs w:val="18"/>
                <w:lang w:eastAsia="cs-CZ"/>
              </w:rPr>
              <w:t>Kreditní riziko t CZK</w:t>
            </w:r>
          </w:p>
        </w:tc>
        <w:tc>
          <w:tcPr>
            <w:tcW w:w="980" w:type="dxa"/>
            <w:tcBorders>
              <w:top w:val="single" w:sz="8" w:space="0" w:color="auto"/>
              <w:left w:val="nil"/>
              <w:bottom w:val="single" w:sz="8" w:space="0" w:color="auto"/>
              <w:right w:val="single" w:sz="8" w:space="0" w:color="auto"/>
            </w:tcBorders>
            <w:shd w:val="clear" w:color="000000" w:fill="92D050"/>
            <w:vAlign w:val="center"/>
            <w:hideMark/>
          </w:tcPr>
          <w:p w:rsidR="00E236FB" w:rsidRPr="00E236FB" w:rsidRDefault="00E236FB" w:rsidP="00735CB1">
            <w:pPr>
              <w:spacing w:after="0" w:line="240" w:lineRule="auto"/>
              <w:jc w:val="center"/>
              <w:rPr>
                <w:rFonts w:ascii="Arial" w:eastAsia="Times New Roman" w:hAnsi="Arial" w:cs="Arial"/>
                <w:b/>
                <w:bCs/>
                <w:color w:val="FFFFFF"/>
                <w:sz w:val="18"/>
                <w:szCs w:val="18"/>
                <w:lang w:eastAsia="cs-CZ"/>
              </w:rPr>
            </w:pPr>
            <w:r w:rsidRPr="00E236FB">
              <w:rPr>
                <w:rFonts w:ascii="Arial" w:eastAsia="Times New Roman" w:hAnsi="Arial" w:cs="Arial"/>
                <w:b/>
                <w:bCs/>
                <w:color w:val="FFFFFF"/>
                <w:sz w:val="18"/>
                <w:szCs w:val="18"/>
                <w:lang w:eastAsia="cs-CZ"/>
              </w:rPr>
              <w:t>2016</w:t>
            </w:r>
          </w:p>
        </w:tc>
      </w:tr>
      <w:tr w:rsidR="00E236FB" w:rsidRPr="00E236FB" w:rsidTr="00864FEE">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Expozice typu 1</w:t>
            </w:r>
          </w:p>
        </w:tc>
        <w:tc>
          <w:tcPr>
            <w:tcW w:w="980" w:type="dxa"/>
            <w:tcBorders>
              <w:top w:val="nil"/>
              <w:left w:val="nil"/>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jc w:val="right"/>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5 763</w:t>
            </w:r>
          </w:p>
        </w:tc>
      </w:tr>
      <w:tr w:rsidR="00E236FB" w:rsidRPr="00E236FB" w:rsidTr="00864FEE">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Expozice typu 2</w:t>
            </w:r>
          </w:p>
        </w:tc>
        <w:tc>
          <w:tcPr>
            <w:tcW w:w="980" w:type="dxa"/>
            <w:tcBorders>
              <w:top w:val="nil"/>
              <w:left w:val="nil"/>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jc w:val="right"/>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5 280</w:t>
            </w:r>
          </w:p>
        </w:tc>
      </w:tr>
      <w:tr w:rsidR="00E236FB" w:rsidRPr="00E236FB" w:rsidTr="00864FEE">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Diversifikace</w:t>
            </w:r>
          </w:p>
        </w:tc>
        <w:tc>
          <w:tcPr>
            <w:tcW w:w="980" w:type="dxa"/>
            <w:tcBorders>
              <w:top w:val="nil"/>
              <w:left w:val="nil"/>
              <w:bottom w:val="single" w:sz="8" w:space="0" w:color="auto"/>
              <w:right w:val="single" w:sz="8" w:space="0" w:color="auto"/>
            </w:tcBorders>
            <w:shd w:val="clear" w:color="auto" w:fill="auto"/>
            <w:vAlign w:val="center"/>
            <w:hideMark/>
          </w:tcPr>
          <w:p w:rsidR="00E236FB" w:rsidRPr="00E236FB" w:rsidRDefault="00E236FB" w:rsidP="00735CB1">
            <w:pPr>
              <w:spacing w:after="0" w:line="240" w:lineRule="auto"/>
              <w:jc w:val="right"/>
              <w:rPr>
                <w:rFonts w:ascii="Arial" w:eastAsia="Times New Roman" w:hAnsi="Arial" w:cs="Arial"/>
                <w:color w:val="000000"/>
                <w:sz w:val="18"/>
                <w:szCs w:val="18"/>
                <w:lang w:eastAsia="cs-CZ"/>
              </w:rPr>
            </w:pPr>
            <w:r w:rsidRPr="00E236FB">
              <w:rPr>
                <w:rFonts w:ascii="Arial" w:eastAsia="Times New Roman" w:hAnsi="Arial" w:cs="Arial"/>
                <w:color w:val="000000"/>
                <w:sz w:val="18"/>
                <w:szCs w:val="18"/>
                <w:lang w:eastAsia="cs-CZ"/>
              </w:rPr>
              <w:t>-712</w:t>
            </w:r>
          </w:p>
        </w:tc>
      </w:tr>
      <w:tr w:rsidR="00E236FB" w:rsidRPr="00E236FB" w:rsidTr="00864FEE">
        <w:trPr>
          <w:trHeight w:val="315"/>
          <w:jc w:val="center"/>
        </w:trPr>
        <w:tc>
          <w:tcPr>
            <w:tcW w:w="2640" w:type="dxa"/>
            <w:tcBorders>
              <w:top w:val="nil"/>
              <w:left w:val="single" w:sz="8" w:space="0" w:color="auto"/>
              <w:bottom w:val="single" w:sz="8" w:space="0" w:color="auto"/>
              <w:right w:val="single" w:sz="8" w:space="0" w:color="auto"/>
            </w:tcBorders>
            <w:shd w:val="clear" w:color="000000" w:fill="D9D9D9"/>
            <w:vAlign w:val="center"/>
            <w:hideMark/>
          </w:tcPr>
          <w:p w:rsidR="00E236FB" w:rsidRPr="00E236FB" w:rsidRDefault="00E236FB" w:rsidP="00735CB1">
            <w:pPr>
              <w:spacing w:after="0" w:line="240" w:lineRule="auto"/>
              <w:rPr>
                <w:rFonts w:ascii="Arial" w:eastAsia="Times New Roman" w:hAnsi="Arial" w:cs="Arial"/>
                <w:b/>
                <w:bCs/>
                <w:color w:val="000000"/>
                <w:sz w:val="18"/>
                <w:szCs w:val="18"/>
                <w:lang w:eastAsia="cs-CZ"/>
              </w:rPr>
            </w:pPr>
            <w:r w:rsidRPr="00E236FB">
              <w:rPr>
                <w:rFonts w:ascii="Arial" w:eastAsia="Times New Roman" w:hAnsi="Arial" w:cs="Arial"/>
                <w:b/>
                <w:bCs/>
                <w:color w:val="000000"/>
                <w:sz w:val="18"/>
                <w:szCs w:val="18"/>
                <w:lang w:eastAsia="cs-CZ"/>
              </w:rPr>
              <w:t>Kreditní riziko celkem</w:t>
            </w:r>
          </w:p>
        </w:tc>
        <w:tc>
          <w:tcPr>
            <w:tcW w:w="980" w:type="dxa"/>
            <w:tcBorders>
              <w:top w:val="nil"/>
              <w:left w:val="nil"/>
              <w:bottom w:val="single" w:sz="8" w:space="0" w:color="auto"/>
              <w:right w:val="single" w:sz="8" w:space="0" w:color="auto"/>
            </w:tcBorders>
            <w:shd w:val="clear" w:color="000000" w:fill="D9D9D9"/>
            <w:vAlign w:val="center"/>
            <w:hideMark/>
          </w:tcPr>
          <w:p w:rsidR="00E236FB" w:rsidRPr="00E236FB" w:rsidRDefault="00E236FB" w:rsidP="00735CB1">
            <w:pPr>
              <w:spacing w:after="0" w:line="240" w:lineRule="auto"/>
              <w:jc w:val="right"/>
              <w:rPr>
                <w:rFonts w:ascii="Arial" w:eastAsia="Times New Roman" w:hAnsi="Arial" w:cs="Arial"/>
                <w:b/>
                <w:bCs/>
                <w:color w:val="000000"/>
                <w:sz w:val="18"/>
                <w:szCs w:val="18"/>
                <w:lang w:eastAsia="cs-CZ"/>
              </w:rPr>
            </w:pPr>
            <w:r w:rsidRPr="00E236FB">
              <w:rPr>
                <w:rFonts w:ascii="Arial" w:eastAsia="Times New Roman" w:hAnsi="Arial" w:cs="Arial"/>
                <w:b/>
                <w:bCs/>
                <w:color w:val="000000"/>
                <w:sz w:val="18"/>
                <w:szCs w:val="18"/>
                <w:lang w:eastAsia="cs-CZ"/>
              </w:rPr>
              <w:t>10 331</w:t>
            </w:r>
          </w:p>
        </w:tc>
      </w:tr>
    </w:tbl>
    <w:p w:rsidR="00E236FB" w:rsidRDefault="00E236FB" w:rsidP="00E236FB">
      <w:pPr>
        <w:rPr>
          <w:rFonts w:ascii="Times New Roman" w:hAnsi="Times New Roman" w:cs="Times New Roman"/>
          <w:b/>
          <w:sz w:val="28"/>
          <w:szCs w:val="28"/>
        </w:rPr>
      </w:pPr>
    </w:p>
    <w:p w:rsidR="003A5BED" w:rsidRDefault="003A5BED" w:rsidP="003A5BED">
      <w:pPr>
        <w:pStyle w:val="Zkladntext"/>
        <w:rPr>
          <w:rFonts w:cs="Arial"/>
          <w:sz w:val="20"/>
        </w:rPr>
      </w:pPr>
      <w:r w:rsidRPr="00322A92">
        <w:rPr>
          <w:rFonts w:ascii="Times New Roman" w:hAnsi="Times New Roman"/>
          <w:b/>
          <w:sz w:val="28"/>
          <w:szCs w:val="28"/>
        </w:rPr>
        <w:t>3.</w:t>
      </w:r>
      <w:r w:rsidR="00E236FB">
        <w:rPr>
          <w:rFonts w:ascii="Times New Roman" w:hAnsi="Times New Roman"/>
          <w:b/>
          <w:sz w:val="28"/>
          <w:szCs w:val="28"/>
        </w:rPr>
        <w:t>3</w:t>
      </w:r>
      <w:r w:rsidRPr="00322A92">
        <w:rPr>
          <w:rFonts w:ascii="Times New Roman" w:hAnsi="Times New Roman"/>
          <w:b/>
          <w:sz w:val="28"/>
          <w:szCs w:val="28"/>
        </w:rPr>
        <w:tab/>
      </w:r>
      <w:r>
        <w:rPr>
          <w:rFonts w:ascii="Times New Roman" w:hAnsi="Times New Roman"/>
          <w:b/>
          <w:sz w:val="28"/>
          <w:szCs w:val="28"/>
        </w:rPr>
        <w:t>Upisovací riziko</w:t>
      </w:r>
    </w:p>
    <w:p w:rsidR="003A5BED" w:rsidRDefault="00864FEE" w:rsidP="003A5BED">
      <w:pPr>
        <w:pStyle w:val="Zkladntext"/>
        <w:rPr>
          <w:rFonts w:cs="Arial"/>
          <w:sz w:val="20"/>
        </w:rPr>
      </w:pPr>
      <w:r>
        <w:rPr>
          <w:rFonts w:ascii="Times New Roman" w:hAnsi="Times New Roman"/>
          <w:sz w:val="24"/>
          <w:szCs w:val="24"/>
        </w:rPr>
        <w:t>Třetí</w:t>
      </w:r>
      <w:r w:rsidR="003B25E0">
        <w:rPr>
          <w:rFonts w:ascii="Times New Roman" w:hAnsi="Times New Roman"/>
          <w:sz w:val="24"/>
          <w:szCs w:val="24"/>
        </w:rPr>
        <w:t xml:space="preserve"> nejvýznamnější SCR riziko</w:t>
      </w:r>
      <w:r w:rsidR="003B25E0" w:rsidRPr="003B25E0">
        <w:rPr>
          <w:rFonts w:ascii="Times New Roman" w:hAnsi="Times New Roman"/>
          <w:sz w:val="24"/>
          <w:szCs w:val="24"/>
        </w:rPr>
        <w:t xml:space="preserve"> je tržní riziko</w:t>
      </w:r>
      <w:r w:rsidR="003B25E0">
        <w:rPr>
          <w:rFonts w:ascii="Times New Roman" w:hAnsi="Times New Roman"/>
          <w:sz w:val="24"/>
          <w:szCs w:val="24"/>
        </w:rPr>
        <w:t xml:space="preserve">. </w:t>
      </w:r>
      <w:r w:rsidR="003B25E0" w:rsidRPr="003B25E0">
        <w:rPr>
          <w:rFonts w:ascii="Times New Roman" w:hAnsi="Times New Roman"/>
          <w:sz w:val="24"/>
          <w:szCs w:val="24"/>
        </w:rPr>
        <w:t xml:space="preserve">Výše kapitálového požadavku pro modul </w:t>
      </w:r>
      <w:r w:rsidR="003B25E0">
        <w:rPr>
          <w:rFonts w:ascii="Times New Roman" w:hAnsi="Times New Roman"/>
          <w:sz w:val="24"/>
          <w:szCs w:val="24"/>
        </w:rPr>
        <w:t>upisovacího</w:t>
      </w:r>
      <w:r w:rsidR="003B25E0" w:rsidRPr="003B25E0">
        <w:rPr>
          <w:rFonts w:ascii="Times New Roman" w:hAnsi="Times New Roman"/>
          <w:sz w:val="24"/>
          <w:szCs w:val="24"/>
        </w:rPr>
        <w:t xml:space="preserve"> rizik</w:t>
      </w:r>
      <w:r w:rsidR="003B25E0">
        <w:rPr>
          <w:rFonts w:ascii="Times New Roman" w:hAnsi="Times New Roman"/>
          <w:sz w:val="24"/>
          <w:szCs w:val="24"/>
        </w:rPr>
        <w:t>a</w:t>
      </w:r>
      <w:r w:rsidR="003B25E0" w:rsidRPr="003B25E0">
        <w:rPr>
          <w:rFonts w:ascii="Times New Roman" w:hAnsi="Times New Roman"/>
          <w:sz w:val="24"/>
          <w:szCs w:val="24"/>
        </w:rPr>
        <w:t xml:space="preserve"> je uveden</w:t>
      </w:r>
      <w:r w:rsidR="003B25E0">
        <w:rPr>
          <w:rFonts w:ascii="Times New Roman" w:hAnsi="Times New Roman"/>
          <w:sz w:val="24"/>
          <w:szCs w:val="24"/>
        </w:rPr>
        <w:t>o</w:t>
      </w:r>
      <w:r w:rsidR="003B25E0" w:rsidRPr="003B25E0">
        <w:rPr>
          <w:rFonts w:ascii="Times New Roman" w:hAnsi="Times New Roman"/>
          <w:sz w:val="24"/>
          <w:szCs w:val="24"/>
        </w:rPr>
        <w:t xml:space="preserve"> v následující tabulce.</w:t>
      </w:r>
      <w:r w:rsidR="003A5BED" w:rsidRPr="00E826DA">
        <w:rPr>
          <w:rFonts w:cs="Arial"/>
          <w:sz w:val="20"/>
        </w:rPr>
        <w:t xml:space="preserve"> </w:t>
      </w:r>
    </w:p>
    <w:p w:rsidR="00864FEE" w:rsidRDefault="00864FEE" w:rsidP="003A5BED">
      <w:pPr>
        <w:pStyle w:val="Zkladntext"/>
        <w:rPr>
          <w:rFonts w:cs="Arial"/>
          <w:sz w:val="20"/>
        </w:rPr>
      </w:pPr>
    </w:p>
    <w:p w:rsidR="003A5BED" w:rsidRDefault="003A5BED" w:rsidP="003A5BED">
      <w:pPr>
        <w:pStyle w:val="Zkladntext"/>
        <w:spacing w:after="0"/>
        <w:rPr>
          <w:rFonts w:cs="Arial"/>
          <w:sz w:val="20"/>
        </w:rPr>
      </w:pPr>
    </w:p>
    <w:tbl>
      <w:tblPr>
        <w:tblW w:w="4460" w:type="dxa"/>
        <w:jc w:val="center"/>
        <w:tblInd w:w="55" w:type="dxa"/>
        <w:tblCellMar>
          <w:left w:w="70" w:type="dxa"/>
          <w:right w:w="70" w:type="dxa"/>
        </w:tblCellMar>
        <w:tblLook w:val="04A0" w:firstRow="1" w:lastRow="0" w:firstColumn="1" w:lastColumn="0" w:noHBand="0" w:noVBand="1"/>
      </w:tblPr>
      <w:tblGrid>
        <w:gridCol w:w="3500"/>
        <w:gridCol w:w="960"/>
      </w:tblGrid>
      <w:tr w:rsidR="00864FEE" w:rsidRPr="00864FEE" w:rsidTr="00864FEE">
        <w:trPr>
          <w:trHeight w:val="315"/>
          <w:jc w:val="center"/>
        </w:trPr>
        <w:tc>
          <w:tcPr>
            <w:tcW w:w="350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864FEE" w:rsidRPr="00864FEE" w:rsidRDefault="00864FEE" w:rsidP="00864FEE">
            <w:pPr>
              <w:spacing w:after="0" w:line="240" w:lineRule="auto"/>
              <w:rPr>
                <w:rFonts w:ascii="Times New Roman" w:eastAsia="Times New Roman" w:hAnsi="Times New Roman" w:cs="Times New Roman"/>
                <w:b/>
                <w:bCs/>
                <w:color w:val="FFFFFF"/>
                <w:sz w:val="20"/>
                <w:szCs w:val="20"/>
                <w:lang w:eastAsia="cs-CZ"/>
              </w:rPr>
            </w:pPr>
            <w:r w:rsidRPr="00864FEE">
              <w:rPr>
                <w:rFonts w:ascii="Times New Roman" w:eastAsia="Times New Roman" w:hAnsi="Times New Roman" w:cs="Times New Roman"/>
                <w:b/>
                <w:bCs/>
                <w:color w:val="FFFFFF"/>
                <w:sz w:val="20"/>
                <w:szCs w:val="20"/>
                <w:lang w:eastAsia="cs-CZ"/>
              </w:rPr>
              <w:t>Neživotní upisovací riziko t CZK</w:t>
            </w:r>
          </w:p>
        </w:tc>
        <w:tc>
          <w:tcPr>
            <w:tcW w:w="960" w:type="dxa"/>
            <w:tcBorders>
              <w:top w:val="single" w:sz="8" w:space="0" w:color="auto"/>
              <w:left w:val="nil"/>
              <w:bottom w:val="single" w:sz="8" w:space="0" w:color="auto"/>
              <w:right w:val="single" w:sz="8" w:space="0" w:color="auto"/>
            </w:tcBorders>
            <w:shd w:val="clear" w:color="000000" w:fill="92D050"/>
            <w:vAlign w:val="center"/>
            <w:hideMark/>
          </w:tcPr>
          <w:p w:rsidR="00864FEE" w:rsidRPr="00864FEE" w:rsidRDefault="00864FEE" w:rsidP="00864FEE">
            <w:pPr>
              <w:spacing w:after="0" w:line="240" w:lineRule="auto"/>
              <w:jc w:val="center"/>
              <w:rPr>
                <w:rFonts w:ascii="Times New Roman" w:eastAsia="Times New Roman" w:hAnsi="Times New Roman" w:cs="Times New Roman"/>
                <w:b/>
                <w:bCs/>
                <w:color w:val="FFFFFF"/>
                <w:sz w:val="20"/>
                <w:szCs w:val="20"/>
                <w:lang w:eastAsia="cs-CZ"/>
              </w:rPr>
            </w:pPr>
            <w:r w:rsidRPr="00864FEE">
              <w:rPr>
                <w:rFonts w:ascii="Times New Roman" w:eastAsia="Times New Roman" w:hAnsi="Times New Roman" w:cs="Times New Roman"/>
                <w:b/>
                <w:bCs/>
                <w:color w:val="FFFFFF"/>
                <w:sz w:val="20"/>
                <w:szCs w:val="20"/>
                <w:lang w:eastAsia="cs-CZ"/>
              </w:rPr>
              <w:t>2016</w:t>
            </w:r>
          </w:p>
        </w:tc>
      </w:tr>
      <w:tr w:rsidR="00864FEE" w:rsidRPr="00864FEE" w:rsidTr="00864FEE">
        <w:trPr>
          <w:trHeight w:val="315"/>
          <w:jc w:val="center"/>
        </w:trPr>
        <w:tc>
          <w:tcPr>
            <w:tcW w:w="3500" w:type="dxa"/>
            <w:tcBorders>
              <w:top w:val="nil"/>
              <w:left w:val="single" w:sz="8" w:space="0" w:color="auto"/>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Riziko pojistného a rezerv</w:t>
            </w:r>
          </w:p>
        </w:tc>
        <w:tc>
          <w:tcPr>
            <w:tcW w:w="960" w:type="dxa"/>
            <w:tcBorders>
              <w:top w:val="nil"/>
              <w:left w:val="nil"/>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jc w:val="right"/>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5 439</w:t>
            </w:r>
          </w:p>
        </w:tc>
      </w:tr>
      <w:tr w:rsidR="00864FEE" w:rsidRPr="00864FEE" w:rsidTr="00864FEE">
        <w:trPr>
          <w:trHeight w:val="315"/>
          <w:jc w:val="center"/>
        </w:trPr>
        <w:tc>
          <w:tcPr>
            <w:tcW w:w="3500" w:type="dxa"/>
            <w:tcBorders>
              <w:top w:val="nil"/>
              <w:left w:val="single" w:sz="8" w:space="0" w:color="auto"/>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Riziko storen</w:t>
            </w:r>
          </w:p>
        </w:tc>
        <w:tc>
          <w:tcPr>
            <w:tcW w:w="960" w:type="dxa"/>
            <w:tcBorders>
              <w:top w:val="nil"/>
              <w:left w:val="nil"/>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jc w:val="right"/>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39</w:t>
            </w:r>
          </w:p>
        </w:tc>
      </w:tr>
      <w:tr w:rsidR="00864FEE" w:rsidRPr="00864FEE" w:rsidTr="00864FEE">
        <w:trPr>
          <w:trHeight w:val="315"/>
          <w:jc w:val="center"/>
        </w:trPr>
        <w:tc>
          <w:tcPr>
            <w:tcW w:w="3500" w:type="dxa"/>
            <w:tcBorders>
              <w:top w:val="nil"/>
              <w:left w:val="single" w:sz="8" w:space="0" w:color="auto"/>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Neživotní katastrofické riziko</w:t>
            </w:r>
          </w:p>
        </w:tc>
        <w:tc>
          <w:tcPr>
            <w:tcW w:w="960" w:type="dxa"/>
            <w:tcBorders>
              <w:top w:val="nil"/>
              <w:left w:val="nil"/>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jc w:val="right"/>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6 663</w:t>
            </w:r>
          </w:p>
        </w:tc>
      </w:tr>
      <w:tr w:rsidR="00864FEE" w:rsidRPr="00864FEE" w:rsidTr="00864FEE">
        <w:trPr>
          <w:trHeight w:val="315"/>
          <w:jc w:val="center"/>
        </w:trPr>
        <w:tc>
          <w:tcPr>
            <w:tcW w:w="3500" w:type="dxa"/>
            <w:tcBorders>
              <w:top w:val="nil"/>
              <w:left w:val="single" w:sz="8" w:space="0" w:color="auto"/>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 xml:space="preserve">Diverzifikace </w:t>
            </w:r>
          </w:p>
        </w:tc>
        <w:tc>
          <w:tcPr>
            <w:tcW w:w="960" w:type="dxa"/>
            <w:tcBorders>
              <w:top w:val="nil"/>
              <w:left w:val="nil"/>
              <w:bottom w:val="single" w:sz="8" w:space="0" w:color="auto"/>
              <w:right w:val="single" w:sz="8" w:space="0" w:color="auto"/>
            </w:tcBorders>
            <w:shd w:val="clear" w:color="auto" w:fill="auto"/>
            <w:vAlign w:val="center"/>
            <w:hideMark/>
          </w:tcPr>
          <w:p w:rsidR="00864FEE" w:rsidRPr="00864FEE" w:rsidRDefault="00864FEE" w:rsidP="00864FEE">
            <w:pPr>
              <w:spacing w:after="0" w:line="240" w:lineRule="auto"/>
              <w:jc w:val="right"/>
              <w:rPr>
                <w:rFonts w:ascii="Times New Roman" w:eastAsia="Times New Roman" w:hAnsi="Times New Roman" w:cs="Times New Roman"/>
                <w:color w:val="000000"/>
                <w:sz w:val="20"/>
                <w:szCs w:val="20"/>
                <w:lang w:eastAsia="cs-CZ"/>
              </w:rPr>
            </w:pPr>
            <w:r w:rsidRPr="00864FEE">
              <w:rPr>
                <w:rFonts w:ascii="Times New Roman" w:eastAsia="Times New Roman" w:hAnsi="Times New Roman" w:cs="Times New Roman"/>
                <w:color w:val="000000"/>
                <w:sz w:val="20"/>
                <w:szCs w:val="20"/>
                <w:lang w:eastAsia="cs-CZ"/>
              </w:rPr>
              <w:t>-2 544</w:t>
            </w:r>
          </w:p>
        </w:tc>
      </w:tr>
      <w:tr w:rsidR="00864FEE" w:rsidRPr="00864FEE" w:rsidTr="00864FEE">
        <w:trPr>
          <w:trHeight w:val="315"/>
          <w:jc w:val="center"/>
        </w:trPr>
        <w:tc>
          <w:tcPr>
            <w:tcW w:w="3500" w:type="dxa"/>
            <w:tcBorders>
              <w:top w:val="nil"/>
              <w:left w:val="single" w:sz="8" w:space="0" w:color="auto"/>
              <w:bottom w:val="single" w:sz="8" w:space="0" w:color="auto"/>
              <w:right w:val="single" w:sz="8" w:space="0" w:color="auto"/>
            </w:tcBorders>
            <w:shd w:val="clear" w:color="000000" w:fill="D9D9D9"/>
            <w:vAlign w:val="center"/>
            <w:hideMark/>
          </w:tcPr>
          <w:p w:rsidR="00864FEE" w:rsidRPr="00864FEE" w:rsidRDefault="00864FEE" w:rsidP="00864FEE">
            <w:pPr>
              <w:spacing w:after="0" w:line="240" w:lineRule="auto"/>
              <w:rPr>
                <w:rFonts w:ascii="Times New Roman" w:eastAsia="Times New Roman" w:hAnsi="Times New Roman" w:cs="Times New Roman"/>
                <w:b/>
                <w:bCs/>
                <w:color w:val="000000"/>
                <w:sz w:val="20"/>
                <w:szCs w:val="20"/>
                <w:lang w:eastAsia="cs-CZ"/>
              </w:rPr>
            </w:pPr>
            <w:r w:rsidRPr="00864FEE">
              <w:rPr>
                <w:rFonts w:ascii="Times New Roman" w:eastAsia="Times New Roman" w:hAnsi="Times New Roman" w:cs="Times New Roman"/>
                <w:b/>
                <w:bCs/>
                <w:color w:val="000000"/>
                <w:sz w:val="20"/>
                <w:szCs w:val="20"/>
                <w:lang w:eastAsia="cs-CZ"/>
              </w:rPr>
              <w:t>Neživotní upisovací riziko celkem</w:t>
            </w:r>
          </w:p>
        </w:tc>
        <w:tc>
          <w:tcPr>
            <w:tcW w:w="960" w:type="dxa"/>
            <w:tcBorders>
              <w:top w:val="nil"/>
              <w:left w:val="nil"/>
              <w:bottom w:val="single" w:sz="8" w:space="0" w:color="auto"/>
              <w:right w:val="single" w:sz="8" w:space="0" w:color="auto"/>
            </w:tcBorders>
            <w:shd w:val="clear" w:color="000000" w:fill="D9D9D9"/>
            <w:vAlign w:val="center"/>
            <w:hideMark/>
          </w:tcPr>
          <w:p w:rsidR="00864FEE" w:rsidRPr="00864FEE" w:rsidRDefault="00864FEE" w:rsidP="00864FEE">
            <w:pPr>
              <w:spacing w:after="0" w:line="240" w:lineRule="auto"/>
              <w:jc w:val="right"/>
              <w:rPr>
                <w:rFonts w:ascii="Times New Roman" w:eastAsia="Times New Roman" w:hAnsi="Times New Roman" w:cs="Times New Roman"/>
                <w:b/>
                <w:bCs/>
                <w:color w:val="000000"/>
                <w:sz w:val="20"/>
                <w:szCs w:val="20"/>
                <w:lang w:eastAsia="cs-CZ"/>
              </w:rPr>
            </w:pPr>
            <w:r w:rsidRPr="00864FEE">
              <w:rPr>
                <w:rFonts w:ascii="Times New Roman" w:eastAsia="Times New Roman" w:hAnsi="Times New Roman" w:cs="Times New Roman"/>
                <w:b/>
                <w:bCs/>
                <w:color w:val="000000"/>
                <w:sz w:val="20"/>
                <w:szCs w:val="20"/>
                <w:lang w:eastAsia="cs-CZ"/>
              </w:rPr>
              <w:t>9 596</w:t>
            </w:r>
          </w:p>
        </w:tc>
      </w:tr>
    </w:tbl>
    <w:p w:rsidR="003A5BED" w:rsidRDefault="003A5BED" w:rsidP="00322A92">
      <w:pPr>
        <w:rPr>
          <w:rFonts w:ascii="Times New Roman" w:hAnsi="Times New Roman" w:cs="Times New Roman"/>
          <w:b/>
          <w:sz w:val="28"/>
          <w:szCs w:val="28"/>
        </w:rPr>
      </w:pPr>
    </w:p>
    <w:p w:rsidR="00996798" w:rsidRDefault="00996798" w:rsidP="00322A92">
      <w:pPr>
        <w:rPr>
          <w:rFonts w:ascii="Times New Roman" w:hAnsi="Times New Roman"/>
          <w:b/>
          <w:sz w:val="28"/>
          <w:szCs w:val="28"/>
        </w:rPr>
      </w:pPr>
      <w:r w:rsidRPr="00322A92">
        <w:rPr>
          <w:rFonts w:ascii="Times New Roman" w:hAnsi="Times New Roman" w:cs="Times New Roman"/>
          <w:b/>
          <w:sz w:val="28"/>
          <w:szCs w:val="28"/>
        </w:rPr>
        <w:t>3.</w:t>
      </w:r>
      <w:r w:rsidR="002927EF">
        <w:rPr>
          <w:rFonts w:ascii="Times New Roman" w:hAnsi="Times New Roman"/>
          <w:b/>
          <w:sz w:val="28"/>
          <w:szCs w:val="28"/>
        </w:rPr>
        <w:t>4</w:t>
      </w:r>
      <w:r w:rsidRPr="00322A92">
        <w:rPr>
          <w:rFonts w:ascii="Times New Roman" w:hAnsi="Times New Roman" w:cs="Times New Roman"/>
          <w:b/>
          <w:sz w:val="28"/>
          <w:szCs w:val="28"/>
        </w:rPr>
        <w:tab/>
      </w:r>
      <w:r>
        <w:rPr>
          <w:rFonts w:ascii="Times New Roman" w:hAnsi="Times New Roman"/>
          <w:b/>
          <w:sz w:val="28"/>
          <w:szCs w:val="28"/>
        </w:rPr>
        <w:t>Operační riziko</w:t>
      </w:r>
    </w:p>
    <w:p w:rsidR="00996798" w:rsidRDefault="00996798" w:rsidP="00322A92">
      <w:pPr>
        <w:rPr>
          <w:rFonts w:ascii="Times New Roman" w:hAnsi="Times New Roman" w:cs="Times New Roman"/>
          <w:sz w:val="24"/>
          <w:szCs w:val="24"/>
        </w:rPr>
      </w:pPr>
      <w:r w:rsidRPr="00996798">
        <w:rPr>
          <w:rFonts w:ascii="Times New Roman" w:hAnsi="Times New Roman" w:cs="Times New Roman"/>
          <w:sz w:val="24"/>
          <w:szCs w:val="24"/>
        </w:rPr>
        <w:t>Posledním rizikem měřeným v SCR je operační riziko. Výše kapitálového požadavku pro modul operačních rizik je uvedena v následující tabulce.</w:t>
      </w:r>
    </w:p>
    <w:tbl>
      <w:tblPr>
        <w:tblW w:w="2743" w:type="dxa"/>
        <w:jc w:val="center"/>
        <w:tblInd w:w="55" w:type="dxa"/>
        <w:tblCellMar>
          <w:left w:w="70" w:type="dxa"/>
          <w:right w:w="70" w:type="dxa"/>
        </w:tblCellMar>
        <w:tblLook w:val="04A0" w:firstRow="1" w:lastRow="0" w:firstColumn="1" w:lastColumn="0" w:noHBand="0" w:noVBand="1"/>
      </w:tblPr>
      <w:tblGrid>
        <w:gridCol w:w="2202"/>
        <w:gridCol w:w="541"/>
      </w:tblGrid>
      <w:tr w:rsidR="00996798" w:rsidRPr="00996798" w:rsidTr="00996798">
        <w:trPr>
          <w:trHeight w:val="315"/>
          <w:jc w:val="center"/>
        </w:trPr>
        <w:tc>
          <w:tcPr>
            <w:tcW w:w="2202"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996798" w:rsidRPr="00996798" w:rsidRDefault="00996798" w:rsidP="00996798">
            <w:pPr>
              <w:spacing w:after="0" w:line="240" w:lineRule="auto"/>
              <w:rPr>
                <w:rFonts w:ascii="Arial" w:eastAsia="Times New Roman" w:hAnsi="Arial" w:cs="Arial"/>
                <w:b/>
                <w:bCs/>
                <w:color w:val="FFFFFF"/>
                <w:sz w:val="18"/>
                <w:szCs w:val="18"/>
                <w:lang w:eastAsia="cs-CZ"/>
              </w:rPr>
            </w:pPr>
            <w:r w:rsidRPr="00996798">
              <w:rPr>
                <w:rFonts w:ascii="Arial" w:eastAsia="Times New Roman" w:hAnsi="Arial" w:cs="Arial"/>
                <w:b/>
                <w:bCs/>
                <w:color w:val="FFFFFF"/>
                <w:sz w:val="18"/>
                <w:szCs w:val="18"/>
                <w:lang w:eastAsia="cs-CZ"/>
              </w:rPr>
              <w:t>Operační riziko</w:t>
            </w:r>
          </w:p>
        </w:tc>
        <w:tc>
          <w:tcPr>
            <w:tcW w:w="541" w:type="dxa"/>
            <w:tcBorders>
              <w:top w:val="single" w:sz="8" w:space="0" w:color="auto"/>
              <w:left w:val="nil"/>
              <w:bottom w:val="single" w:sz="8" w:space="0" w:color="auto"/>
              <w:right w:val="single" w:sz="8" w:space="0" w:color="auto"/>
            </w:tcBorders>
            <w:shd w:val="clear" w:color="000000" w:fill="92D050"/>
            <w:vAlign w:val="center"/>
            <w:hideMark/>
          </w:tcPr>
          <w:p w:rsidR="00996798" w:rsidRPr="00996798" w:rsidRDefault="00996798" w:rsidP="00996798">
            <w:pPr>
              <w:spacing w:after="0" w:line="240" w:lineRule="auto"/>
              <w:jc w:val="center"/>
              <w:rPr>
                <w:rFonts w:ascii="Arial" w:eastAsia="Times New Roman" w:hAnsi="Arial" w:cs="Arial"/>
                <w:b/>
                <w:bCs/>
                <w:color w:val="FFFFFF"/>
                <w:sz w:val="18"/>
                <w:szCs w:val="18"/>
                <w:lang w:eastAsia="cs-CZ"/>
              </w:rPr>
            </w:pPr>
            <w:r w:rsidRPr="00996798">
              <w:rPr>
                <w:rFonts w:ascii="Arial" w:eastAsia="Times New Roman" w:hAnsi="Arial" w:cs="Arial"/>
                <w:b/>
                <w:bCs/>
                <w:color w:val="FFFFFF"/>
                <w:sz w:val="18"/>
                <w:szCs w:val="18"/>
                <w:lang w:eastAsia="cs-CZ"/>
              </w:rPr>
              <w:t>2016</w:t>
            </w:r>
          </w:p>
        </w:tc>
      </w:tr>
      <w:tr w:rsidR="00996798" w:rsidRPr="00996798" w:rsidTr="00996798">
        <w:trPr>
          <w:trHeight w:val="315"/>
          <w:jc w:val="center"/>
        </w:trPr>
        <w:tc>
          <w:tcPr>
            <w:tcW w:w="2202" w:type="dxa"/>
            <w:tcBorders>
              <w:top w:val="nil"/>
              <w:left w:val="single" w:sz="8" w:space="0" w:color="auto"/>
              <w:bottom w:val="single" w:sz="8" w:space="0" w:color="auto"/>
              <w:right w:val="single" w:sz="8" w:space="0" w:color="auto"/>
            </w:tcBorders>
            <w:shd w:val="clear" w:color="000000" w:fill="D9D9D9"/>
            <w:vAlign w:val="center"/>
            <w:hideMark/>
          </w:tcPr>
          <w:p w:rsidR="00996798" w:rsidRPr="00996798" w:rsidRDefault="00996798" w:rsidP="00996798">
            <w:pPr>
              <w:spacing w:after="0" w:line="240" w:lineRule="auto"/>
              <w:rPr>
                <w:rFonts w:ascii="Arial" w:eastAsia="Times New Roman" w:hAnsi="Arial" w:cs="Arial"/>
                <w:b/>
                <w:bCs/>
                <w:color w:val="000000"/>
                <w:sz w:val="18"/>
                <w:szCs w:val="18"/>
                <w:lang w:eastAsia="cs-CZ"/>
              </w:rPr>
            </w:pPr>
            <w:r w:rsidRPr="00996798">
              <w:rPr>
                <w:rFonts w:ascii="Arial" w:eastAsia="Times New Roman" w:hAnsi="Arial" w:cs="Arial"/>
                <w:b/>
                <w:bCs/>
                <w:color w:val="000000"/>
                <w:sz w:val="18"/>
                <w:szCs w:val="18"/>
                <w:lang w:eastAsia="cs-CZ"/>
              </w:rPr>
              <w:t>Operační riziko celkem</w:t>
            </w:r>
          </w:p>
        </w:tc>
        <w:tc>
          <w:tcPr>
            <w:tcW w:w="541" w:type="dxa"/>
            <w:tcBorders>
              <w:top w:val="nil"/>
              <w:left w:val="nil"/>
              <w:bottom w:val="single" w:sz="8" w:space="0" w:color="auto"/>
              <w:right w:val="single" w:sz="8" w:space="0" w:color="auto"/>
            </w:tcBorders>
            <w:shd w:val="clear" w:color="000000" w:fill="D9D9D9"/>
            <w:vAlign w:val="center"/>
            <w:hideMark/>
          </w:tcPr>
          <w:p w:rsidR="00996798" w:rsidRPr="00996798" w:rsidRDefault="00EA6F5E" w:rsidP="00996798">
            <w:pPr>
              <w:spacing w:after="0" w:line="240" w:lineRule="auto"/>
              <w:jc w:val="right"/>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647</w:t>
            </w:r>
            <w:r w:rsidR="00996798" w:rsidRPr="00996798">
              <w:rPr>
                <w:rFonts w:ascii="Arial" w:eastAsia="Times New Roman" w:hAnsi="Arial" w:cs="Arial"/>
                <w:b/>
                <w:bCs/>
                <w:color w:val="000000"/>
                <w:sz w:val="18"/>
                <w:szCs w:val="18"/>
                <w:lang w:eastAsia="cs-CZ"/>
              </w:rPr>
              <w:t> </w:t>
            </w:r>
          </w:p>
        </w:tc>
      </w:tr>
    </w:tbl>
    <w:p w:rsidR="00996798" w:rsidRDefault="00996798" w:rsidP="00322A92">
      <w:pPr>
        <w:rPr>
          <w:rFonts w:ascii="Times New Roman" w:hAnsi="Times New Roman" w:cs="Times New Roman"/>
          <w:b/>
          <w:sz w:val="24"/>
          <w:szCs w:val="24"/>
        </w:rPr>
      </w:pPr>
    </w:p>
    <w:p w:rsidR="002927EF" w:rsidRDefault="002927EF" w:rsidP="00322A92">
      <w:pPr>
        <w:rPr>
          <w:rFonts w:ascii="Times New Roman" w:hAnsi="Times New Roman" w:cs="Times New Roman"/>
          <w:sz w:val="24"/>
          <w:szCs w:val="24"/>
        </w:rPr>
      </w:pPr>
      <w:r w:rsidRPr="002927EF">
        <w:rPr>
          <w:rFonts w:ascii="Times New Roman" w:hAnsi="Times New Roman" w:cs="Times New Roman"/>
          <w:sz w:val="24"/>
          <w:szCs w:val="24"/>
        </w:rPr>
        <w:t xml:space="preserve">Kromě vyhodnocení operačního rizika na základě standartní formule </w:t>
      </w:r>
      <w:r>
        <w:rPr>
          <w:rFonts w:ascii="Times New Roman" w:hAnsi="Times New Roman" w:cs="Times New Roman"/>
          <w:sz w:val="24"/>
          <w:szCs w:val="24"/>
        </w:rPr>
        <w:t>Solventnosti II</w:t>
      </w:r>
      <w:r w:rsidRPr="002927EF">
        <w:rPr>
          <w:rFonts w:ascii="Times New Roman" w:hAnsi="Times New Roman" w:cs="Times New Roman"/>
          <w:sz w:val="24"/>
          <w:szCs w:val="24"/>
        </w:rPr>
        <w:t>, Pojišťovna toto riziko aktivně řídí a na každodenní bázi identifikuje nová operační rizika, sleduje, měří a vyhodnocuje již známá operační rizika a přijímá opatření k omezení podstupovaných rizik a vyhodnocuje jejich efektivitu.</w:t>
      </w:r>
    </w:p>
    <w:p w:rsidR="002927EF" w:rsidRDefault="002927EF" w:rsidP="00322A92">
      <w:pPr>
        <w:rPr>
          <w:rFonts w:ascii="Times New Roman" w:hAnsi="Times New Roman"/>
          <w:b/>
          <w:sz w:val="28"/>
          <w:szCs w:val="28"/>
        </w:rPr>
      </w:pPr>
      <w:r w:rsidRPr="00322A92">
        <w:rPr>
          <w:rFonts w:ascii="Times New Roman" w:hAnsi="Times New Roman" w:cs="Times New Roman"/>
          <w:b/>
          <w:sz w:val="28"/>
          <w:szCs w:val="28"/>
        </w:rPr>
        <w:t>3.</w:t>
      </w:r>
      <w:r>
        <w:rPr>
          <w:rFonts w:ascii="Times New Roman" w:hAnsi="Times New Roman"/>
          <w:b/>
          <w:sz w:val="28"/>
          <w:szCs w:val="28"/>
        </w:rPr>
        <w:t>5</w:t>
      </w:r>
      <w:r w:rsidRPr="00322A92">
        <w:rPr>
          <w:rFonts w:ascii="Times New Roman" w:hAnsi="Times New Roman" w:cs="Times New Roman"/>
          <w:b/>
          <w:sz w:val="28"/>
          <w:szCs w:val="28"/>
        </w:rPr>
        <w:tab/>
      </w:r>
      <w:r>
        <w:rPr>
          <w:rFonts w:ascii="Times New Roman" w:hAnsi="Times New Roman"/>
          <w:b/>
          <w:sz w:val="28"/>
          <w:szCs w:val="28"/>
        </w:rPr>
        <w:t>Riziko likvidity</w:t>
      </w:r>
    </w:p>
    <w:p w:rsidR="002927EF" w:rsidRPr="002927EF" w:rsidRDefault="002927EF" w:rsidP="002927EF">
      <w:pPr>
        <w:pStyle w:val="Zkladntext"/>
        <w:spacing w:after="0"/>
        <w:rPr>
          <w:rFonts w:ascii="Times New Roman" w:hAnsi="Times New Roman"/>
          <w:sz w:val="24"/>
          <w:szCs w:val="24"/>
        </w:rPr>
      </w:pPr>
      <w:r w:rsidRPr="002927EF">
        <w:rPr>
          <w:rFonts w:ascii="Times New Roman" w:hAnsi="Times New Roman"/>
          <w:sz w:val="24"/>
          <w:szCs w:val="24"/>
        </w:rPr>
        <w:t>Riziko likvidity není měřeno standardní formulí SII. Z pohledu krátkodobé likvidity Pojišťovna toto riziko řídí nastavením pravidel pro držení dostatečné likvidity. V dlouhodobějším horizontu je likvidita řízena systémem limitů, které zajistí, že Pojišťovna drží dostatečnou část investic v likvidních instrumentech.</w:t>
      </w:r>
    </w:p>
    <w:p w:rsidR="002927EF" w:rsidRDefault="002927EF" w:rsidP="002927EF">
      <w:pPr>
        <w:rPr>
          <w:rFonts w:ascii="Times New Roman" w:hAnsi="Times New Roman" w:cs="Times New Roman"/>
          <w:b/>
          <w:sz w:val="28"/>
          <w:szCs w:val="28"/>
        </w:rPr>
      </w:pPr>
    </w:p>
    <w:p w:rsidR="002927EF" w:rsidRDefault="002927EF" w:rsidP="002927EF">
      <w:pPr>
        <w:rPr>
          <w:rFonts w:ascii="Times New Roman" w:hAnsi="Times New Roman"/>
          <w:b/>
          <w:sz w:val="28"/>
          <w:szCs w:val="28"/>
        </w:rPr>
      </w:pPr>
      <w:r w:rsidRPr="00322A92">
        <w:rPr>
          <w:rFonts w:ascii="Times New Roman" w:hAnsi="Times New Roman" w:cs="Times New Roman"/>
          <w:b/>
          <w:sz w:val="28"/>
          <w:szCs w:val="28"/>
        </w:rPr>
        <w:t>3.</w:t>
      </w:r>
      <w:r>
        <w:rPr>
          <w:rFonts w:ascii="Times New Roman" w:hAnsi="Times New Roman"/>
          <w:b/>
          <w:sz w:val="28"/>
          <w:szCs w:val="28"/>
        </w:rPr>
        <w:t>6</w:t>
      </w:r>
      <w:r w:rsidRPr="00322A92">
        <w:rPr>
          <w:rFonts w:ascii="Times New Roman" w:hAnsi="Times New Roman" w:cs="Times New Roman"/>
          <w:b/>
          <w:sz w:val="28"/>
          <w:szCs w:val="28"/>
        </w:rPr>
        <w:tab/>
      </w:r>
      <w:r>
        <w:rPr>
          <w:rFonts w:ascii="Times New Roman" w:hAnsi="Times New Roman"/>
          <w:b/>
          <w:sz w:val="28"/>
          <w:szCs w:val="28"/>
        </w:rPr>
        <w:t>Jiná podstatná rizika</w:t>
      </w:r>
    </w:p>
    <w:p w:rsidR="002927EF" w:rsidRDefault="002927EF" w:rsidP="00322A92">
      <w:pPr>
        <w:rPr>
          <w:rFonts w:ascii="Times New Roman" w:hAnsi="Times New Roman" w:cs="Times New Roman"/>
          <w:sz w:val="24"/>
          <w:szCs w:val="24"/>
        </w:rPr>
      </w:pPr>
      <w:r w:rsidRPr="002927EF">
        <w:rPr>
          <w:rFonts w:ascii="Times New Roman" w:hAnsi="Times New Roman" w:cs="Times New Roman"/>
          <w:sz w:val="24"/>
          <w:szCs w:val="24"/>
        </w:rPr>
        <w:t xml:space="preserve">Pojišťovna </w:t>
      </w:r>
      <w:r>
        <w:rPr>
          <w:rFonts w:ascii="Times New Roman" w:hAnsi="Times New Roman" w:cs="Times New Roman"/>
          <w:sz w:val="24"/>
          <w:szCs w:val="24"/>
        </w:rPr>
        <w:t>neidentifikuje jiná podstatná rizika</w:t>
      </w:r>
    </w:p>
    <w:p w:rsidR="002927EF" w:rsidRDefault="002927EF" w:rsidP="00322A92">
      <w:pPr>
        <w:rPr>
          <w:rFonts w:ascii="Times New Roman" w:hAnsi="Times New Roman"/>
          <w:b/>
          <w:sz w:val="28"/>
          <w:szCs w:val="28"/>
        </w:rPr>
      </w:pPr>
      <w:r w:rsidRPr="00322A92">
        <w:rPr>
          <w:rFonts w:ascii="Times New Roman" w:hAnsi="Times New Roman" w:cs="Times New Roman"/>
          <w:b/>
          <w:sz w:val="28"/>
          <w:szCs w:val="28"/>
        </w:rPr>
        <w:t>3.</w:t>
      </w:r>
      <w:r>
        <w:rPr>
          <w:rFonts w:ascii="Times New Roman" w:hAnsi="Times New Roman"/>
          <w:b/>
          <w:sz w:val="28"/>
          <w:szCs w:val="28"/>
        </w:rPr>
        <w:t>7</w:t>
      </w:r>
      <w:r w:rsidRPr="00322A92">
        <w:rPr>
          <w:rFonts w:ascii="Times New Roman" w:hAnsi="Times New Roman" w:cs="Times New Roman"/>
          <w:b/>
          <w:sz w:val="28"/>
          <w:szCs w:val="28"/>
        </w:rPr>
        <w:tab/>
      </w:r>
      <w:r>
        <w:rPr>
          <w:rFonts w:ascii="Times New Roman" w:hAnsi="Times New Roman"/>
          <w:b/>
          <w:sz w:val="28"/>
          <w:szCs w:val="28"/>
        </w:rPr>
        <w:t>Citlivost vůči riziku</w:t>
      </w:r>
    </w:p>
    <w:p w:rsidR="002C708F" w:rsidRPr="002C708F" w:rsidRDefault="002C708F" w:rsidP="002C708F">
      <w:pPr>
        <w:rPr>
          <w:rFonts w:ascii="Times New Roman" w:hAnsi="Times New Roman" w:cs="Times New Roman"/>
          <w:sz w:val="24"/>
          <w:szCs w:val="24"/>
        </w:rPr>
      </w:pPr>
      <w:r w:rsidRPr="002C708F">
        <w:rPr>
          <w:rFonts w:ascii="Times New Roman" w:hAnsi="Times New Roman" w:cs="Times New Roman"/>
          <w:sz w:val="24"/>
          <w:szCs w:val="24"/>
        </w:rPr>
        <w:t>Pokud jde o citlivost vůči riziku, Pojišťovna pravidelně provádí stresové testování nejvýznamnějších identifikovaných rizik a výpočtu SCR.</w:t>
      </w:r>
      <w:r>
        <w:rPr>
          <w:rFonts w:ascii="Times New Roman" w:hAnsi="Times New Roman" w:cs="Times New Roman"/>
          <w:sz w:val="24"/>
          <w:szCs w:val="24"/>
        </w:rPr>
        <w:t xml:space="preserve"> </w:t>
      </w:r>
      <w:r w:rsidRPr="002C708F">
        <w:rPr>
          <w:rFonts w:ascii="Times New Roman" w:hAnsi="Times New Roman" w:cs="Times New Roman"/>
          <w:sz w:val="24"/>
          <w:szCs w:val="24"/>
        </w:rPr>
        <w:t xml:space="preserve">Scénáře byly definovány na základě kvantifikace rizik </w:t>
      </w:r>
      <w:r>
        <w:rPr>
          <w:rFonts w:ascii="Times New Roman" w:hAnsi="Times New Roman" w:cs="Times New Roman"/>
          <w:sz w:val="24"/>
          <w:szCs w:val="24"/>
        </w:rPr>
        <w:t>Pojišťovny</w:t>
      </w:r>
      <w:r w:rsidRPr="002C708F">
        <w:rPr>
          <w:rFonts w:ascii="Times New Roman" w:hAnsi="Times New Roman" w:cs="Times New Roman"/>
          <w:sz w:val="24"/>
          <w:szCs w:val="24"/>
        </w:rPr>
        <w:t xml:space="preserve">, vypočtených podle standardního vzorce s přihlédnutím k senzitivitám jednotlivých rizik tak, aby jejích odhadovaná pravděpodobnost nastání byla </w:t>
      </w:r>
      <w:r>
        <w:rPr>
          <w:rFonts w:ascii="Times New Roman" w:hAnsi="Times New Roman" w:cs="Times New Roman"/>
          <w:sz w:val="24"/>
          <w:szCs w:val="24"/>
        </w:rPr>
        <w:t>velmi malá</w:t>
      </w:r>
      <w:r w:rsidRPr="002C708F">
        <w:rPr>
          <w:rFonts w:ascii="Times New Roman" w:hAnsi="Times New Roman" w:cs="Times New Roman"/>
          <w:sz w:val="24"/>
          <w:szCs w:val="24"/>
        </w:rPr>
        <w:t xml:space="preserve"> a zároveň tak, aby scénáře představovaly významný, komplexní a smysluplný negativní vývoj vnějších faktorů.</w:t>
      </w:r>
    </w:p>
    <w:p w:rsidR="002C708F" w:rsidRDefault="002C708F" w:rsidP="002C708F">
      <w:pPr>
        <w:rPr>
          <w:rFonts w:ascii="Times New Roman" w:hAnsi="Times New Roman" w:cs="Times New Roman"/>
          <w:sz w:val="24"/>
          <w:szCs w:val="24"/>
        </w:rPr>
      </w:pPr>
      <w:r w:rsidRPr="002C708F">
        <w:rPr>
          <w:rFonts w:ascii="Times New Roman" w:hAnsi="Times New Roman" w:cs="Times New Roman"/>
          <w:sz w:val="24"/>
          <w:szCs w:val="24"/>
        </w:rPr>
        <w:t>V roce 201</w:t>
      </w:r>
      <w:r>
        <w:rPr>
          <w:rFonts w:ascii="Times New Roman" w:hAnsi="Times New Roman" w:cs="Times New Roman"/>
          <w:sz w:val="24"/>
          <w:szCs w:val="24"/>
        </w:rPr>
        <w:t>6</w:t>
      </w:r>
      <w:r w:rsidRPr="002C708F">
        <w:rPr>
          <w:rFonts w:ascii="Times New Roman" w:hAnsi="Times New Roman" w:cs="Times New Roman"/>
          <w:sz w:val="24"/>
          <w:szCs w:val="24"/>
        </w:rPr>
        <w:t xml:space="preserve"> byly pro</w:t>
      </w:r>
      <w:r>
        <w:rPr>
          <w:rFonts w:ascii="Times New Roman" w:hAnsi="Times New Roman" w:cs="Times New Roman"/>
          <w:sz w:val="24"/>
          <w:szCs w:val="24"/>
        </w:rPr>
        <w:t>vedeny následující stress testy.</w:t>
      </w:r>
    </w:p>
    <w:p w:rsidR="00EA6F5E" w:rsidRDefault="00EA6F5E" w:rsidP="00D35F18">
      <w:pPr>
        <w:rPr>
          <w:rFonts w:ascii="Times New Roman" w:hAnsi="Times New Roman" w:cs="Times New Roman"/>
          <w:sz w:val="24"/>
          <w:szCs w:val="24"/>
        </w:rPr>
      </w:pPr>
    </w:p>
    <w:p w:rsidR="00D35F18" w:rsidRP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Riziko likvidity</w:t>
      </w:r>
    </w:p>
    <w:p w:rsidR="00D35F18" w:rsidRPr="00D35F18" w:rsidRDefault="00D35F18" w:rsidP="00D35F18">
      <w:pPr>
        <w:rPr>
          <w:rFonts w:ascii="Times New Roman" w:hAnsi="Times New Roman" w:cs="Times New Roman"/>
          <w:b/>
          <w:sz w:val="24"/>
          <w:szCs w:val="24"/>
        </w:rPr>
      </w:pPr>
      <w:r w:rsidRPr="00D35F18">
        <w:rPr>
          <w:rFonts w:ascii="Times New Roman" w:hAnsi="Times New Roman" w:cs="Times New Roman"/>
          <w:sz w:val="24"/>
          <w:szCs w:val="24"/>
        </w:rPr>
        <w:t>-Nucený prodej nemovitosti v rámci nedostatku likvidity za 50% její tržní hodnoty.</w:t>
      </w:r>
    </w:p>
    <w:p w:rsidR="00D35F18" w:rsidRP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Kreditní riziko</w:t>
      </w:r>
    </w:p>
    <w:p w:rsidR="00D35F18" w:rsidRP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 xml:space="preserve">-Krach banky, u níž má pojišťovna nejvyšší depozitní úložku, kdy recovery rate bude 10 </w:t>
      </w:r>
      <w:r>
        <w:rPr>
          <w:rFonts w:ascii="Times New Roman" w:hAnsi="Times New Roman" w:cs="Times New Roman"/>
          <w:sz w:val="24"/>
          <w:szCs w:val="24"/>
        </w:rPr>
        <w:t>%</w:t>
      </w:r>
    </w:p>
    <w:p w:rsidR="00D35F18" w:rsidRP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 xml:space="preserve">Pojistně technické riziko </w:t>
      </w:r>
    </w:p>
    <w:p w:rsidR="00D35F18" w:rsidRP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 xml:space="preserve">- 200 letá povodeň spojená s krachem největšího zajistitele, kdy recovery rate bude 0 % </w:t>
      </w:r>
    </w:p>
    <w:p w:rsidR="00D35F18" w:rsidRDefault="00D35F18" w:rsidP="00D35F18">
      <w:pPr>
        <w:rPr>
          <w:rFonts w:ascii="Times New Roman" w:hAnsi="Times New Roman" w:cs="Times New Roman"/>
          <w:sz w:val="24"/>
          <w:szCs w:val="24"/>
        </w:rPr>
      </w:pPr>
      <w:r w:rsidRPr="00D35F18">
        <w:rPr>
          <w:rFonts w:ascii="Times New Roman" w:hAnsi="Times New Roman" w:cs="Times New Roman"/>
          <w:sz w:val="24"/>
          <w:szCs w:val="24"/>
        </w:rPr>
        <w:t>-Zvýšení škodní frekvence o 100%, žádná participace zajistitele, pouze malé škody</w:t>
      </w:r>
    </w:p>
    <w:p w:rsidR="00EA6F5E" w:rsidRPr="00BA65F8" w:rsidRDefault="00EA6F5E" w:rsidP="00EA6F5E">
      <w:pPr>
        <w:rPr>
          <w:rFonts w:ascii="Times New Roman" w:hAnsi="Times New Roman" w:cs="Times New Roman"/>
          <w:sz w:val="24"/>
          <w:szCs w:val="24"/>
        </w:rPr>
      </w:pPr>
      <w:r>
        <w:rPr>
          <w:rFonts w:ascii="Times New Roman" w:hAnsi="Times New Roman" w:cs="Times New Roman"/>
          <w:sz w:val="24"/>
          <w:szCs w:val="24"/>
        </w:rPr>
        <w:t>U všech těchto stresových scénářů nedošlo poklesu kapitálu pod SCR ani MCR. Detailní informace regulátor v roce 2016 obdržel prostřednictvím ORSA reportu.</w:t>
      </w:r>
    </w:p>
    <w:p w:rsidR="00477DAA" w:rsidRDefault="00477DAA" w:rsidP="00322A92">
      <w:pPr>
        <w:rPr>
          <w:rFonts w:ascii="Times New Roman" w:hAnsi="Times New Roman" w:cs="Times New Roman"/>
          <w:b/>
          <w:sz w:val="28"/>
          <w:szCs w:val="28"/>
        </w:rPr>
      </w:pPr>
    </w:p>
    <w:p w:rsidR="00322A92" w:rsidRPr="00322A92" w:rsidRDefault="00322A92" w:rsidP="00322A92">
      <w:pPr>
        <w:rPr>
          <w:rFonts w:ascii="Times New Roman" w:hAnsi="Times New Roman" w:cs="Times New Roman"/>
          <w:b/>
          <w:sz w:val="28"/>
          <w:szCs w:val="28"/>
        </w:rPr>
      </w:pPr>
      <w:r w:rsidRPr="00322A92">
        <w:rPr>
          <w:rFonts w:ascii="Times New Roman" w:hAnsi="Times New Roman" w:cs="Times New Roman"/>
          <w:b/>
          <w:sz w:val="28"/>
          <w:szCs w:val="28"/>
        </w:rPr>
        <w:t>3.</w:t>
      </w:r>
      <w:r w:rsidR="002927EF">
        <w:rPr>
          <w:rFonts w:ascii="Times New Roman" w:hAnsi="Times New Roman" w:cs="Times New Roman"/>
          <w:b/>
          <w:sz w:val="28"/>
          <w:szCs w:val="28"/>
        </w:rPr>
        <w:t>8</w:t>
      </w:r>
      <w:r w:rsidRPr="00322A92">
        <w:rPr>
          <w:rFonts w:ascii="Times New Roman" w:hAnsi="Times New Roman" w:cs="Times New Roman"/>
          <w:b/>
          <w:sz w:val="28"/>
          <w:szCs w:val="28"/>
        </w:rPr>
        <w:tab/>
        <w:t>Další informace</w:t>
      </w:r>
    </w:p>
    <w:p w:rsidR="009901EC" w:rsidRDefault="002927EF" w:rsidP="00322A92">
      <w:pPr>
        <w:rPr>
          <w:rFonts w:ascii="Times New Roman" w:hAnsi="Times New Roman" w:cs="Times New Roman"/>
          <w:sz w:val="24"/>
          <w:szCs w:val="24"/>
        </w:rPr>
      </w:pPr>
      <w:r w:rsidRPr="002927EF">
        <w:rPr>
          <w:rFonts w:ascii="Times New Roman" w:hAnsi="Times New Roman" w:cs="Times New Roman"/>
          <w:sz w:val="24"/>
          <w:szCs w:val="24"/>
        </w:rPr>
        <w:t>Všechny podstatné informace týkající se rizikového profilu již byly zmíněny v předchozích odstavcích.</w:t>
      </w:r>
    </w:p>
    <w:p w:rsidR="00EA6F5E" w:rsidRDefault="00EA6F5E" w:rsidP="00310745">
      <w:pPr>
        <w:rPr>
          <w:rFonts w:ascii="Times New Roman" w:hAnsi="Times New Roman" w:cs="Times New Roman"/>
          <w:b/>
          <w:sz w:val="28"/>
          <w:szCs w:val="28"/>
        </w:rPr>
      </w:pPr>
    </w:p>
    <w:p w:rsidR="00310745" w:rsidRPr="00310745" w:rsidRDefault="00310745" w:rsidP="00310745">
      <w:pPr>
        <w:rPr>
          <w:rFonts w:ascii="Times New Roman" w:hAnsi="Times New Roman" w:cs="Times New Roman"/>
          <w:b/>
          <w:sz w:val="28"/>
          <w:szCs w:val="28"/>
        </w:rPr>
      </w:pPr>
      <w:r w:rsidRPr="00310745">
        <w:rPr>
          <w:rFonts w:ascii="Times New Roman" w:hAnsi="Times New Roman" w:cs="Times New Roman"/>
          <w:b/>
          <w:sz w:val="28"/>
          <w:szCs w:val="28"/>
        </w:rPr>
        <w:t>4</w:t>
      </w:r>
      <w:r w:rsidRPr="00310745">
        <w:rPr>
          <w:rFonts w:ascii="Times New Roman" w:hAnsi="Times New Roman" w:cs="Times New Roman"/>
          <w:b/>
          <w:sz w:val="28"/>
          <w:szCs w:val="28"/>
        </w:rPr>
        <w:tab/>
        <w:t>Oceňování pro účely solventnosti</w:t>
      </w:r>
    </w:p>
    <w:p w:rsidR="00310745" w:rsidRPr="00310745" w:rsidRDefault="00310745" w:rsidP="00310745">
      <w:pPr>
        <w:rPr>
          <w:rFonts w:ascii="Times New Roman" w:hAnsi="Times New Roman" w:cs="Times New Roman"/>
          <w:b/>
          <w:sz w:val="28"/>
          <w:szCs w:val="28"/>
        </w:rPr>
      </w:pPr>
      <w:r w:rsidRPr="00310745">
        <w:rPr>
          <w:rFonts w:ascii="Times New Roman" w:hAnsi="Times New Roman" w:cs="Times New Roman"/>
          <w:b/>
          <w:sz w:val="28"/>
          <w:szCs w:val="28"/>
        </w:rPr>
        <w:t>4.1</w:t>
      </w:r>
      <w:r w:rsidRPr="00310745">
        <w:rPr>
          <w:rFonts w:ascii="Times New Roman" w:hAnsi="Times New Roman" w:cs="Times New Roman"/>
          <w:b/>
          <w:sz w:val="28"/>
          <w:szCs w:val="28"/>
        </w:rPr>
        <w:tab/>
        <w:t>Aktiva</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Pojišťovna má zpracovanou směrnici o oceňování aktiv a závazků, ve které jsou samostatně pro každou třídu aktiv stanoveny zásady oceňování. Standardní metodou oceňování je oceňování aktiv a závazků za použití kótovaných tržních cen na aktivních trzích pro stejná aktiva či závazky. Pokud není použití těchto cen možné, ocení se aktiva a závazky za použití kótovaných tržních cen pro obdobná aktiva či závazky, které se upraví o odlišnosti. Pokud použití kótovaných tržních cen na aktivních trzích není možné, použije Pojišťovna alternativních metod oceňování.</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Pozemky a stavby se oceňují reálnou hodnotou. Vzhledem k tomu, že pro oceňování pozemků a staveb není možné použití kótovaných tržních cen na aktivních trzích pro stejná ani obdobná aktiva, pojišťovna používá alternativní metody oceňování, které jsou v souladu s jedním či více z následujících přístupů:</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a)</w:t>
      </w:r>
      <w:r w:rsidRPr="00E17542">
        <w:rPr>
          <w:rFonts w:ascii="Times New Roman" w:hAnsi="Times New Roman" w:cs="Times New Roman"/>
          <w:sz w:val="24"/>
          <w:szCs w:val="24"/>
        </w:rPr>
        <w:tab/>
        <w:t>s tržním přístupem</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b)</w:t>
      </w:r>
      <w:r w:rsidRPr="00E17542">
        <w:rPr>
          <w:rFonts w:ascii="Times New Roman" w:hAnsi="Times New Roman" w:cs="Times New Roman"/>
          <w:sz w:val="24"/>
          <w:szCs w:val="24"/>
        </w:rPr>
        <w:tab/>
        <w:t>s výnosovým přístupem</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c)</w:t>
      </w:r>
      <w:r w:rsidRPr="00E17542">
        <w:rPr>
          <w:rFonts w:ascii="Times New Roman" w:hAnsi="Times New Roman" w:cs="Times New Roman"/>
          <w:sz w:val="24"/>
          <w:szCs w:val="24"/>
        </w:rPr>
        <w:tab/>
        <w:t>s nákladovým přístupem</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Oceňování pozemků a staveb reálnou hodnotou neprovádí Pojišťovna interně, k provedení odborného ocenění využívá znaleckých ústavů v České republice.</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Veškeré cenné papíry jsou k rozvahovému dni přeceňovány na reálnou hodnotu, která je stanovena jako tržní cena získána od správce portfolia. Depozita u finančních institucí se oceňují reálnou hodnotou, která k datu ocenění je stanovena jako nominální hodnota plus alikvótní podíl úroků k datu ocenění.</w:t>
      </w:r>
    </w:p>
    <w:p w:rsidR="00E17542" w:rsidRP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Dlouhodobý majetek se oceňuje reálnou hodnotou. Vzhledem k tomu, že pro oceňování dlouhodobého majetku není možné použití kótovaných tržních cen na aktivních trzích, Pojišťovna použije alternativní metody oceňování. Pojišťovna považuje účetní hodnotu dle CAS za n</w:t>
      </w:r>
      <w:r>
        <w:rPr>
          <w:rFonts w:ascii="Times New Roman" w:hAnsi="Times New Roman" w:cs="Times New Roman"/>
          <w:sz w:val="24"/>
          <w:szCs w:val="24"/>
        </w:rPr>
        <w:t>ejlepší odhad reálné hodnoty.</w:t>
      </w:r>
    </w:p>
    <w:p w:rsidR="00E17542" w:rsidRDefault="00E17542" w:rsidP="00E17542">
      <w:pPr>
        <w:rPr>
          <w:rFonts w:ascii="Times New Roman" w:hAnsi="Times New Roman" w:cs="Times New Roman"/>
          <w:sz w:val="24"/>
          <w:szCs w:val="24"/>
        </w:rPr>
      </w:pPr>
      <w:r w:rsidRPr="00E17542">
        <w:rPr>
          <w:rFonts w:ascii="Times New Roman" w:hAnsi="Times New Roman" w:cs="Times New Roman"/>
          <w:sz w:val="24"/>
          <w:szCs w:val="24"/>
        </w:rPr>
        <w:t>Pohledávky se oceňují k rozvahovému dni reálnou hodnotou, která představuje nominální hodnotu po promítnutí opravných položek stanovených podle bonity pohledávek.</w:t>
      </w:r>
    </w:p>
    <w:p w:rsidR="007D230C" w:rsidRDefault="007D230C" w:rsidP="00E17542">
      <w:pPr>
        <w:rPr>
          <w:rFonts w:ascii="Times New Roman" w:hAnsi="Times New Roman" w:cs="Times New Roman"/>
          <w:sz w:val="24"/>
          <w:szCs w:val="24"/>
        </w:rPr>
      </w:pPr>
    </w:p>
    <w:p w:rsidR="007D230C" w:rsidRDefault="007D230C" w:rsidP="00E17542">
      <w:pPr>
        <w:rPr>
          <w:rFonts w:ascii="Times New Roman" w:hAnsi="Times New Roman" w:cs="Times New Roman"/>
          <w:sz w:val="24"/>
          <w:szCs w:val="24"/>
        </w:rPr>
      </w:pPr>
    </w:p>
    <w:p w:rsidR="007D230C" w:rsidRDefault="007D230C" w:rsidP="00E17542">
      <w:pPr>
        <w:rPr>
          <w:rFonts w:ascii="Times New Roman" w:hAnsi="Times New Roman" w:cs="Times New Roman"/>
          <w:sz w:val="24"/>
          <w:szCs w:val="24"/>
        </w:rPr>
      </w:pPr>
    </w:p>
    <w:p w:rsidR="007D230C" w:rsidRDefault="007D230C" w:rsidP="00E17542">
      <w:pPr>
        <w:rPr>
          <w:rFonts w:ascii="Times New Roman" w:hAnsi="Times New Roman" w:cs="Times New Roman"/>
          <w:sz w:val="24"/>
          <w:szCs w:val="24"/>
        </w:rPr>
      </w:pPr>
    </w:p>
    <w:p w:rsidR="002366F2" w:rsidRPr="00E17542" w:rsidRDefault="002366F2" w:rsidP="00E17542">
      <w:pPr>
        <w:rPr>
          <w:rFonts w:ascii="Times New Roman" w:hAnsi="Times New Roman" w:cs="Times New Roman"/>
          <w:sz w:val="24"/>
          <w:szCs w:val="24"/>
        </w:rPr>
      </w:pPr>
    </w:p>
    <w:tbl>
      <w:tblPr>
        <w:tblW w:w="9120" w:type="dxa"/>
        <w:tblInd w:w="55" w:type="dxa"/>
        <w:tblCellMar>
          <w:left w:w="70" w:type="dxa"/>
          <w:right w:w="70" w:type="dxa"/>
        </w:tblCellMar>
        <w:tblLook w:val="04A0" w:firstRow="1" w:lastRow="0" w:firstColumn="1" w:lastColumn="0" w:noHBand="0" w:noVBand="1"/>
      </w:tblPr>
      <w:tblGrid>
        <w:gridCol w:w="2537"/>
        <w:gridCol w:w="770"/>
        <w:gridCol w:w="1528"/>
        <w:gridCol w:w="1371"/>
        <w:gridCol w:w="2914"/>
      </w:tblGrid>
      <w:tr w:rsidR="00604062" w:rsidRPr="00604062" w:rsidTr="00604062">
        <w:trPr>
          <w:trHeight w:val="735"/>
        </w:trPr>
        <w:tc>
          <w:tcPr>
            <w:tcW w:w="256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604062" w:rsidRPr="00604062" w:rsidRDefault="00604062" w:rsidP="00604062">
            <w:pPr>
              <w:spacing w:after="0" w:line="240" w:lineRule="auto"/>
              <w:jc w:val="center"/>
              <w:rPr>
                <w:rFonts w:ascii="Arial" w:eastAsia="Times New Roman" w:hAnsi="Arial" w:cs="Arial"/>
                <w:b/>
                <w:bCs/>
                <w:color w:val="FFFFFF"/>
                <w:sz w:val="18"/>
                <w:szCs w:val="18"/>
                <w:lang w:eastAsia="cs-CZ"/>
              </w:rPr>
            </w:pPr>
            <w:r w:rsidRPr="00604062">
              <w:rPr>
                <w:rFonts w:ascii="Arial" w:eastAsia="Times New Roman" w:hAnsi="Arial" w:cs="Arial"/>
                <w:b/>
                <w:bCs/>
                <w:color w:val="FFFFFF"/>
                <w:sz w:val="18"/>
                <w:szCs w:val="18"/>
                <w:lang w:eastAsia="cs-CZ"/>
              </w:rPr>
              <w:t>Aktivum</w:t>
            </w:r>
          </w:p>
        </w:tc>
        <w:tc>
          <w:tcPr>
            <w:tcW w:w="700" w:type="dxa"/>
            <w:tcBorders>
              <w:top w:val="single" w:sz="8" w:space="0" w:color="auto"/>
              <w:left w:val="nil"/>
              <w:bottom w:val="single" w:sz="8" w:space="0" w:color="auto"/>
              <w:right w:val="single" w:sz="8" w:space="0" w:color="auto"/>
            </w:tcBorders>
            <w:shd w:val="clear" w:color="000000" w:fill="92D050"/>
            <w:vAlign w:val="center"/>
            <w:hideMark/>
          </w:tcPr>
          <w:p w:rsidR="00604062" w:rsidRPr="00604062" w:rsidRDefault="00604062" w:rsidP="00604062">
            <w:pPr>
              <w:spacing w:after="0" w:line="240" w:lineRule="auto"/>
              <w:jc w:val="center"/>
              <w:rPr>
                <w:rFonts w:ascii="Arial" w:eastAsia="Times New Roman" w:hAnsi="Arial" w:cs="Arial"/>
                <w:b/>
                <w:bCs/>
                <w:color w:val="FFFFFF"/>
                <w:sz w:val="18"/>
                <w:szCs w:val="18"/>
                <w:lang w:eastAsia="cs-CZ"/>
              </w:rPr>
            </w:pPr>
            <w:r w:rsidRPr="00604062">
              <w:rPr>
                <w:rFonts w:ascii="Arial" w:eastAsia="Times New Roman" w:hAnsi="Arial" w:cs="Arial"/>
                <w:b/>
                <w:bCs/>
                <w:color w:val="FFFFFF"/>
                <w:sz w:val="18"/>
                <w:szCs w:val="18"/>
                <w:lang w:eastAsia="cs-CZ"/>
              </w:rPr>
              <w:t>Období</w:t>
            </w:r>
          </w:p>
        </w:tc>
        <w:tc>
          <w:tcPr>
            <w:tcW w:w="1540" w:type="dxa"/>
            <w:tcBorders>
              <w:top w:val="single" w:sz="8" w:space="0" w:color="auto"/>
              <w:left w:val="nil"/>
              <w:bottom w:val="single" w:sz="8" w:space="0" w:color="auto"/>
              <w:right w:val="single" w:sz="8" w:space="0" w:color="auto"/>
            </w:tcBorders>
            <w:shd w:val="clear" w:color="000000" w:fill="92D050"/>
            <w:vAlign w:val="center"/>
            <w:hideMark/>
          </w:tcPr>
          <w:p w:rsidR="00604062" w:rsidRPr="00604062" w:rsidRDefault="00604062" w:rsidP="00604062">
            <w:pPr>
              <w:spacing w:after="0" w:line="240" w:lineRule="auto"/>
              <w:jc w:val="center"/>
              <w:rPr>
                <w:rFonts w:ascii="Arial" w:eastAsia="Times New Roman" w:hAnsi="Arial" w:cs="Arial"/>
                <w:b/>
                <w:bCs/>
                <w:color w:val="FFFFFF"/>
                <w:sz w:val="18"/>
                <w:szCs w:val="18"/>
                <w:lang w:eastAsia="cs-CZ"/>
              </w:rPr>
            </w:pPr>
            <w:r w:rsidRPr="00604062">
              <w:rPr>
                <w:rFonts w:ascii="Arial" w:eastAsia="Times New Roman" w:hAnsi="Arial" w:cs="Arial"/>
                <w:b/>
                <w:bCs/>
                <w:color w:val="FFFFFF"/>
                <w:sz w:val="18"/>
                <w:szCs w:val="18"/>
                <w:lang w:eastAsia="cs-CZ"/>
              </w:rPr>
              <w:t>Ocenění dle CAS</w:t>
            </w:r>
          </w:p>
        </w:tc>
        <w:tc>
          <w:tcPr>
            <w:tcW w:w="1380" w:type="dxa"/>
            <w:tcBorders>
              <w:top w:val="single" w:sz="8" w:space="0" w:color="auto"/>
              <w:left w:val="nil"/>
              <w:bottom w:val="single" w:sz="8" w:space="0" w:color="auto"/>
              <w:right w:val="single" w:sz="8" w:space="0" w:color="auto"/>
            </w:tcBorders>
            <w:shd w:val="clear" w:color="000000" w:fill="92D050"/>
            <w:vAlign w:val="center"/>
            <w:hideMark/>
          </w:tcPr>
          <w:p w:rsidR="00604062" w:rsidRPr="00604062" w:rsidRDefault="00604062" w:rsidP="00604062">
            <w:pPr>
              <w:spacing w:after="0" w:line="240" w:lineRule="auto"/>
              <w:jc w:val="right"/>
              <w:rPr>
                <w:rFonts w:ascii="Arial" w:eastAsia="Times New Roman" w:hAnsi="Arial" w:cs="Arial"/>
                <w:b/>
                <w:bCs/>
                <w:color w:val="FFFFFF"/>
                <w:sz w:val="18"/>
                <w:szCs w:val="18"/>
                <w:lang w:eastAsia="cs-CZ"/>
              </w:rPr>
            </w:pPr>
            <w:r w:rsidRPr="00604062">
              <w:rPr>
                <w:rFonts w:ascii="Arial" w:eastAsia="Times New Roman" w:hAnsi="Arial" w:cs="Arial"/>
                <w:b/>
                <w:bCs/>
                <w:color w:val="FFFFFF"/>
                <w:sz w:val="18"/>
                <w:szCs w:val="18"/>
                <w:lang w:eastAsia="cs-CZ"/>
              </w:rPr>
              <w:t>Ocenění dle SII</w:t>
            </w:r>
          </w:p>
        </w:tc>
        <w:tc>
          <w:tcPr>
            <w:tcW w:w="2940" w:type="dxa"/>
            <w:tcBorders>
              <w:top w:val="single" w:sz="8" w:space="0" w:color="auto"/>
              <w:left w:val="nil"/>
              <w:bottom w:val="single" w:sz="8" w:space="0" w:color="auto"/>
              <w:right w:val="single" w:sz="8" w:space="0" w:color="auto"/>
            </w:tcBorders>
            <w:shd w:val="clear" w:color="000000" w:fill="92D050"/>
            <w:vAlign w:val="center"/>
            <w:hideMark/>
          </w:tcPr>
          <w:p w:rsidR="00604062" w:rsidRPr="00604062" w:rsidRDefault="00604062" w:rsidP="00604062">
            <w:pPr>
              <w:spacing w:after="0" w:line="240" w:lineRule="auto"/>
              <w:jc w:val="center"/>
              <w:rPr>
                <w:rFonts w:ascii="Arial" w:eastAsia="Times New Roman" w:hAnsi="Arial" w:cs="Arial"/>
                <w:b/>
                <w:bCs/>
                <w:color w:val="FFFFFF"/>
                <w:sz w:val="18"/>
                <w:szCs w:val="18"/>
                <w:lang w:eastAsia="cs-CZ"/>
              </w:rPr>
            </w:pPr>
            <w:r w:rsidRPr="00604062">
              <w:rPr>
                <w:rFonts w:ascii="Arial" w:eastAsia="Times New Roman" w:hAnsi="Arial" w:cs="Arial"/>
                <w:b/>
                <w:bCs/>
                <w:color w:val="FFFFFF"/>
                <w:sz w:val="18"/>
                <w:szCs w:val="18"/>
                <w:lang w:eastAsia="cs-CZ"/>
              </w:rPr>
              <w:t>Komentář k použitým podkladům, metodám, předpokladům</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Nemovitosti</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44 590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44 590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oceněny stejně dle SII i CAS</w:t>
            </w:r>
          </w:p>
        </w:tc>
      </w:tr>
      <w:tr w:rsidR="00604062" w:rsidRPr="00604062" w:rsidTr="00604062">
        <w:trPr>
          <w:trHeight w:val="31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44 590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44 590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oceněny stejně dle SII i CAS</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Dluhopisy</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13 867</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13 867</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oceňovány dle CAS i SII tržní hodnotou</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14 517</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14 517</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oceňovány dle CAS i SII tržní hodnotou</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Termínované vklady</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40 243</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40 243</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oceněny stejně dle SII i CAS</w:t>
            </w:r>
          </w:p>
        </w:tc>
      </w:tr>
      <w:tr w:rsidR="00604062" w:rsidRPr="00604062" w:rsidTr="00604062">
        <w:trPr>
          <w:trHeight w:val="31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45 961</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45 961</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oceněny stejně dle SII i CAS</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Nehmotná aktiva</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1 849</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nehmotná aktiva přecen</w:t>
            </w:r>
            <w:r>
              <w:rPr>
                <w:rFonts w:ascii="Arial" w:eastAsia="Times New Roman" w:hAnsi="Arial" w:cs="Arial"/>
                <w:color w:val="000000"/>
                <w:sz w:val="18"/>
                <w:szCs w:val="18"/>
                <w:lang w:eastAsia="cs-CZ"/>
              </w:rPr>
              <w:t>ě</w:t>
            </w:r>
            <w:r w:rsidRPr="00604062">
              <w:rPr>
                <w:rFonts w:ascii="Arial" w:eastAsia="Times New Roman" w:hAnsi="Arial" w:cs="Arial"/>
                <w:color w:val="000000"/>
                <w:sz w:val="18"/>
                <w:szCs w:val="18"/>
                <w:lang w:eastAsia="cs-CZ"/>
              </w:rPr>
              <w:t>ná dle SII na nulu</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V roce 2015 žádná nehmotná aktiva pojišťovna neměla</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Odložené pořizovací náklady</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114</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v rámci SII přeceněny na nulu</w:t>
            </w:r>
          </w:p>
        </w:tc>
      </w:tr>
      <w:tr w:rsidR="00604062" w:rsidRPr="00604062" w:rsidTr="00604062">
        <w:trPr>
          <w:trHeight w:val="31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1 009</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v rámci SII přeceněny na nulu</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Pohledávky za zajistiteli</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39</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dle CAS snižují pasiva - technické rezervy</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180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dle CAS snižují pasiva - technické rezervy</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Úvěry a hypotéky</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32 655</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32 655</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Úvěry podnikům ve skupině, oceněny stejně dle CAS i SII</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28 499</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28 499</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Úvěry podnikům ve skupině, oceněny stejně dle CAS i SII</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Peníze a ekvivalenty hotovosti</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316</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316</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běžné účty a pokladny, oceněny stejně dle SII i CAS</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běžné účty a pokladny, oceněny stejně dle SII i CAS</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Odložené daňové pohledávky</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 </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415</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Daň z přecenění aktiv a pasiv</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 </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V roce 2015 pro jednoduchost nepočítáno</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Jiné investice</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1 550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1 550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Historické automobily</w:t>
            </w:r>
          </w:p>
        </w:tc>
      </w:tr>
      <w:tr w:rsidR="00604062" w:rsidRPr="00604062" w:rsidTr="00604062">
        <w:trPr>
          <w:trHeight w:val="31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1 550</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1 550</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Historické automobily</w:t>
            </w:r>
          </w:p>
        </w:tc>
      </w:tr>
      <w:tr w:rsidR="00604062" w:rsidRPr="00604062" w:rsidTr="00604062">
        <w:trPr>
          <w:trHeight w:val="495"/>
        </w:trPr>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Ostatní</w:t>
            </w: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2016</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5 072</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5 072</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hmotná aktiva, pohledávky za pojistníky a z obchodního styku</w:t>
            </w:r>
          </w:p>
        </w:tc>
      </w:tr>
      <w:tr w:rsidR="00604062" w:rsidRPr="00604062" w:rsidTr="00604062">
        <w:trPr>
          <w:trHeight w:val="49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p>
        </w:tc>
        <w:tc>
          <w:tcPr>
            <w:tcW w:w="70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2015</w:t>
            </w:r>
          </w:p>
        </w:tc>
        <w:tc>
          <w:tcPr>
            <w:tcW w:w="15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6 489</w:t>
            </w:r>
          </w:p>
        </w:tc>
        <w:tc>
          <w:tcPr>
            <w:tcW w:w="138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jc w:val="right"/>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6 489</w:t>
            </w:r>
          </w:p>
        </w:tc>
        <w:tc>
          <w:tcPr>
            <w:tcW w:w="2940" w:type="dxa"/>
            <w:tcBorders>
              <w:top w:val="nil"/>
              <w:left w:val="nil"/>
              <w:bottom w:val="single" w:sz="8" w:space="0" w:color="auto"/>
              <w:right w:val="single" w:sz="8" w:space="0" w:color="auto"/>
            </w:tcBorders>
            <w:shd w:val="clear" w:color="auto" w:fill="auto"/>
            <w:vAlign w:val="center"/>
            <w:hideMark/>
          </w:tcPr>
          <w:p w:rsidR="00604062" w:rsidRPr="00604062" w:rsidRDefault="00604062" w:rsidP="00604062">
            <w:pPr>
              <w:spacing w:after="0" w:line="240" w:lineRule="auto"/>
              <w:rPr>
                <w:rFonts w:ascii="Arial" w:eastAsia="Times New Roman" w:hAnsi="Arial" w:cs="Arial"/>
                <w:color w:val="000000"/>
                <w:sz w:val="18"/>
                <w:szCs w:val="18"/>
                <w:lang w:eastAsia="cs-CZ"/>
              </w:rPr>
            </w:pPr>
            <w:r w:rsidRPr="00604062">
              <w:rPr>
                <w:rFonts w:ascii="Arial" w:eastAsia="Times New Roman" w:hAnsi="Arial" w:cs="Arial"/>
                <w:color w:val="000000"/>
                <w:sz w:val="18"/>
                <w:szCs w:val="18"/>
                <w:lang w:eastAsia="cs-CZ"/>
              </w:rPr>
              <w:t>hmotná aktiva, pohledávky za pojistníky a z obchodního styku</w:t>
            </w:r>
          </w:p>
        </w:tc>
      </w:tr>
      <w:tr w:rsidR="00604062" w:rsidRPr="00604062" w:rsidTr="00604062">
        <w:trPr>
          <w:trHeight w:val="315"/>
        </w:trPr>
        <w:tc>
          <w:tcPr>
            <w:tcW w:w="256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604062" w:rsidRPr="00604062" w:rsidRDefault="00604062" w:rsidP="00604062">
            <w:pPr>
              <w:spacing w:after="0" w:line="240" w:lineRule="auto"/>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 xml:space="preserve">Celkem </w:t>
            </w:r>
          </w:p>
        </w:tc>
        <w:tc>
          <w:tcPr>
            <w:tcW w:w="70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2016</w:t>
            </w:r>
          </w:p>
        </w:tc>
        <w:tc>
          <w:tcPr>
            <w:tcW w:w="154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140 256</w:t>
            </w:r>
          </w:p>
        </w:tc>
        <w:tc>
          <w:tcPr>
            <w:tcW w:w="138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138 747</w:t>
            </w:r>
          </w:p>
        </w:tc>
        <w:tc>
          <w:tcPr>
            <w:tcW w:w="294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 </w:t>
            </w:r>
          </w:p>
        </w:tc>
      </w:tr>
      <w:tr w:rsidR="00604062" w:rsidRPr="00604062" w:rsidTr="00604062">
        <w:trPr>
          <w:trHeight w:val="315"/>
        </w:trPr>
        <w:tc>
          <w:tcPr>
            <w:tcW w:w="2560" w:type="dxa"/>
            <w:vMerge/>
            <w:tcBorders>
              <w:top w:val="nil"/>
              <w:left w:val="single" w:sz="8" w:space="0" w:color="auto"/>
              <w:bottom w:val="single" w:sz="8" w:space="0" w:color="000000"/>
              <w:right w:val="single" w:sz="8" w:space="0" w:color="auto"/>
            </w:tcBorders>
            <w:vAlign w:val="center"/>
            <w:hideMark/>
          </w:tcPr>
          <w:p w:rsidR="00604062" w:rsidRPr="00604062" w:rsidRDefault="00604062" w:rsidP="00604062">
            <w:pPr>
              <w:spacing w:after="0" w:line="240" w:lineRule="auto"/>
              <w:rPr>
                <w:rFonts w:ascii="Arial" w:eastAsia="Times New Roman" w:hAnsi="Arial" w:cs="Arial"/>
                <w:b/>
                <w:bCs/>
                <w:color w:val="000000"/>
                <w:sz w:val="18"/>
                <w:szCs w:val="18"/>
                <w:lang w:eastAsia="cs-CZ"/>
              </w:rPr>
            </w:pPr>
          </w:p>
        </w:tc>
        <w:tc>
          <w:tcPr>
            <w:tcW w:w="70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2015</w:t>
            </w:r>
          </w:p>
        </w:tc>
        <w:tc>
          <w:tcPr>
            <w:tcW w:w="154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142 615</w:t>
            </w:r>
          </w:p>
        </w:tc>
        <w:tc>
          <w:tcPr>
            <w:tcW w:w="138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jc w:val="right"/>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141 786</w:t>
            </w:r>
          </w:p>
        </w:tc>
        <w:tc>
          <w:tcPr>
            <w:tcW w:w="2940" w:type="dxa"/>
            <w:tcBorders>
              <w:top w:val="nil"/>
              <w:left w:val="nil"/>
              <w:bottom w:val="single" w:sz="8" w:space="0" w:color="auto"/>
              <w:right w:val="single" w:sz="8" w:space="0" w:color="auto"/>
            </w:tcBorders>
            <w:shd w:val="clear" w:color="000000" w:fill="D9D9D9"/>
            <w:vAlign w:val="center"/>
            <w:hideMark/>
          </w:tcPr>
          <w:p w:rsidR="00604062" w:rsidRPr="00604062" w:rsidRDefault="00604062" w:rsidP="00604062">
            <w:pPr>
              <w:spacing w:after="0" w:line="240" w:lineRule="auto"/>
              <w:rPr>
                <w:rFonts w:ascii="Arial" w:eastAsia="Times New Roman" w:hAnsi="Arial" w:cs="Arial"/>
                <w:b/>
                <w:bCs/>
                <w:color w:val="000000"/>
                <w:sz w:val="18"/>
                <w:szCs w:val="18"/>
                <w:lang w:eastAsia="cs-CZ"/>
              </w:rPr>
            </w:pPr>
            <w:r w:rsidRPr="00604062">
              <w:rPr>
                <w:rFonts w:ascii="Arial" w:eastAsia="Times New Roman" w:hAnsi="Arial" w:cs="Arial"/>
                <w:b/>
                <w:bCs/>
                <w:color w:val="000000"/>
                <w:sz w:val="18"/>
                <w:szCs w:val="18"/>
                <w:lang w:eastAsia="cs-CZ"/>
              </w:rPr>
              <w:t> </w:t>
            </w:r>
          </w:p>
        </w:tc>
      </w:tr>
    </w:tbl>
    <w:p w:rsidR="00365FD2" w:rsidRDefault="00365FD2" w:rsidP="00310745">
      <w:pPr>
        <w:rPr>
          <w:rFonts w:ascii="Times New Roman" w:hAnsi="Times New Roman" w:cs="Times New Roman"/>
          <w:b/>
          <w:sz w:val="28"/>
          <w:szCs w:val="28"/>
        </w:rPr>
      </w:pPr>
    </w:p>
    <w:p w:rsidR="00310745" w:rsidRPr="00FC7BBE" w:rsidRDefault="00310745" w:rsidP="00310745">
      <w:pPr>
        <w:rPr>
          <w:rFonts w:ascii="Times New Roman" w:hAnsi="Times New Roman" w:cs="Times New Roman"/>
          <w:b/>
          <w:sz w:val="28"/>
          <w:szCs w:val="28"/>
        </w:rPr>
      </w:pPr>
      <w:r w:rsidRPr="00FC7BBE">
        <w:rPr>
          <w:rFonts w:ascii="Times New Roman" w:hAnsi="Times New Roman" w:cs="Times New Roman"/>
          <w:b/>
          <w:sz w:val="28"/>
          <w:szCs w:val="28"/>
        </w:rPr>
        <w:t>4.2</w:t>
      </w:r>
      <w:r w:rsidRPr="00FC7BBE">
        <w:rPr>
          <w:rFonts w:ascii="Times New Roman" w:hAnsi="Times New Roman" w:cs="Times New Roman"/>
          <w:b/>
          <w:sz w:val="28"/>
          <w:szCs w:val="28"/>
        </w:rPr>
        <w:tab/>
        <w:t>Technické rezervy</w:t>
      </w:r>
    </w:p>
    <w:p w:rsidR="00C8266E" w:rsidRPr="00C8266E" w:rsidRDefault="00C8266E" w:rsidP="00C8266E">
      <w:pPr>
        <w:rPr>
          <w:rFonts w:ascii="Times New Roman" w:hAnsi="Times New Roman" w:cs="Times New Roman"/>
          <w:b/>
          <w:sz w:val="24"/>
          <w:szCs w:val="24"/>
        </w:rPr>
      </w:pPr>
      <w:r w:rsidRPr="00C8266E">
        <w:rPr>
          <w:rFonts w:ascii="Times New Roman" w:hAnsi="Times New Roman" w:cs="Times New Roman"/>
          <w:b/>
          <w:sz w:val="24"/>
          <w:szCs w:val="24"/>
        </w:rPr>
        <w:t>Rezerva pojistného neživotního pojištění</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 xml:space="preserve">Výpočet na základě simplifikace: </w:t>
      </w:r>
    </w:p>
    <w:p w:rsidR="00C8266E" w:rsidRPr="00C8266E" w:rsidRDefault="00C8266E" w:rsidP="00C8266E">
      <w:pPr>
        <w:rPr>
          <w:rFonts w:ascii="Times New Roman" w:hAnsi="Times New Roman" w:cs="Times New Roman"/>
          <w:sz w:val="24"/>
          <w:szCs w:val="24"/>
        </w:rPr>
      </w:pPr>
      <w:r>
        <w:rPr>
          <w:rFonts w:ascii="Times New Roman" w:hAnsi="Times New Roman" w:cs="Times New Roman"/>
          <w:sz w:val="24"/>
          <w:szCs w:val="24"/>
        </w:rPr>
        <w:t>BE = CR x VM+ (CR-1) x PVFP + AER x</w:t>
      </w:r>
      <w:r w:rsidRPr="00C8266E">
        <w:rPr>
          <w:rFonts w:ascii="Times New Roman" w:hAnsi="Times New Roman" w:cs="Times New Roman"/>
          <w:sz w:val="24"/>
          <w:szCs w:val="24"/>
        </w:rPr>
        <w:t xml:space="preserve"> PVFP,</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 xml:space="preserve">kde: </w:t>
      </w:r>
    </w:p>
    <w:p w:rsidR="00C8266E" w:rsidRPr="00C8266E" w:rsidRDefault="00C8266E" w:rsidP="003F4A6C">
      <w:pPr>
        <w:pStyle w:val="Odstavecseseznamem"/>
        <w:numPr>
          <w:ilvl w:val="0"/>
          <w:numId w:val="16"/>
        </w:numPr>
        <w:rPr>
          <w:rFonts w:ascii="Times New Roman" w:hAnsi="Times New Roman" w:cs="Times New Roman"/>
          <w:sz w:val="24"/>
          <w:szCs w:val="24"/>
        </w:rPr>
      </w:pPr>
      <w:r w:rsidRPr="00C8266E">
        <w:rPr>
          <w:rFonts w:ascii="Times New Roman" w:hAnsi="Times New Roman" w:cs="Times New Roman"/>
          <w:sz w:val="24"/>
          <w:szCs w:val="24"/>
        </w:rPr>
        <w:t>BE = nejlepší odhad rezervy pojistného</w:t>
      </w:r>
    </w:p>
    <w:p w:rsidR="00C8266E" w:rsidRPr="00C8266E" w:rsidRDefault="00C8266E" w:rsidP="003F4A6C">
      <w:pPr>
        <w:pStyle w:val="Odstavecseseznamem"/>
        <w:numPr>
          <w:ilvl w:val="0"/>
          <w:numId w:val="16"/>
        </w:numPr>
        <w:rPr>
          <w:rFonts w:ascii="Times New Roman" w:hAnsi="Times New Roman" w:cs="Times New Roman"/>
          <w:sz w:val="24"/>
          <w:szCs w:val="24"/>
        </w:rPr>
      </w:pPr>
      <w:r w:rsidRPr="00C8266E">
        <w:rPr>
          <w:rFonts w:ascii="Times New Roman" w:hAnsi="Times New Roman" w:cs="Times New Roman"/>
          <w:sz w:val="24"/>
          <w:szCs w:val="24"/>
        </w:rPr>
        <w:t xml:space="preserve">CR = odhad společného poměru pro druh pojištění včetně pořizovacích nákladů tj. CR = (pojistné události + náklady spojené s pojistnou událostí) / (zasloužené pojistné včetně pořizovacích nákladů). </w:t>
      </w:r>
    </w:p>
    <w:p w:rsidR="00C8266E" w:rsidRPr="00C8266E" w:rsidRDefault="00C8266E" w:rsidP="003F4A6C">
      <w:pPr>
        <w:pStyle w:val="Odstavecseseznamem"/>
        <w:numPr>
          <w:ilvl w:val="0"/>
          <w:numId w:val="16"/>
        </w:numPr>
        <w:rPr>
          <w:rFonts w:ascii="Times New Roman" w:hAnsi="Times New Roman" w:cs="Times New Roman"/>
          <w:sz w:val="24"/>
          <w:szCs w:val="24"/>
        </w:rPr>
      </w:pPr>
      <w:r w:rsidRPr="00C8266E">
        <w:rPr>
          <w:rFonts w:ascii="Times New Roman" w:hAnsi="Times New Roman" w:cs="Times New Roman"/>
          <w:sz w:val="24"/>
          <w:szCs w:val="24"/>
        </w:rPr>
        <w:t xml:space="preserve">VM = měřítko objemu pro nezasloužené pojistné. Týká se k datu ocenění vzniklých obchodních případů a představuje pojistné za tyto vzniklé obchodní případy mínus již zasloužené pojistné těchto smluv. Počítá se včetně pořizovacích nákladů. </w:t>
      </w:r>
    </w:p>
    <w:p w:rsidR="00C8266E" w:rsidRPr="00C8266E" w:rsidRDefault="00C8266E" w:rsidP="003F4A6C">
      <w:pPr>
        <w:pStyle w:val="Odstavecseseznamem"/>
        <w:numPr>
          <w:ilvl w:val="0"/>
          <w:numId w:val="16"/>
        </w:numPr>
        <w:rPr>
          <w:rFonts w:ascii="Times New Roman" w:hAnsi="Times New Roman" w:cs="Times New Roman"/>
          <w:sz w:val="24"/>
          <w:szCs w:val="24"/>
        </w:rPr>
      </w:pPr>
      <w:r w:rsidRPr="00C8266E">
        <w:rPr>
          <w:rFonts w:ascii="Times New Roman" w:hAnsi="Times New Roman" w:cs="Times New Roman"/>
          <w:sz w:val="24"/>
          <w:szCs w:val="24"/>
        </w:rPr>
        <w:t xml:space="preserve">PVFP = současná hodnota budoucího pojistného (diskontovaná předepsanou časovou strukturou bezrizikových úrokových měr) včetně provize. </w:t>
      </w:r>
    </w:p>
    <w:p w:rsidR="00C8266E" w:rsidRPr="00C8266E" w:rsidRDefault="00C8266E" w:rsidP="003F4A6C">
      <w:pPr>
        <w:pStyle w:val="Odstavecseseznamem"/>
        <w:numPr>
          <w:ilvl w:val="0"/>
          <w:numId w:val="16"/>
        </w:numPr>
        <w:rPr>
          <w:rFonts w:ascii="Times New Roman" w:hAnsi="Times New Roman" w:cs="Times New Roman"/>
          <w:sz w:val="24"/>
          <w:szCs w:val="24"/>
        </w:rPr>
      </w:pPr>
      <w:r w:rsidRPr="00C8266E">
        <w:rPr>
          <w:rFonts w:ascii="Times New Roman" w:hAnsi="Times New Roman" w:cs="Times New Roman"/>
          <w:sz w:val="24"/>
          <w:szCs w:val="24"/>
        </w:rPr>
        <w:t>AER = odhad poměru pořizovacích nákladů pro druh pojištění.</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Podíl zajistitele na rezervě snížen o riziko defaultu zajistitele – Podíl zajistitele na rezervě na pojistného je snížen o riziko defaultu zajistitele – podíl zajistitele je snižován o střední hodnotu očekávané ztráty způsobené defaultem zajistitele, při vyčíslení této střední hodnoty je uvažována pravděpodobnost defaultu závislá na ratingu zajistitele v časovém horizontu shodném s durací této rezervy.</w:t>
      </w:r>
    </w:p>
    <w:p w:rsidR="00C8266E" w:rsidRPr="00C8266E" w:rsidRDefault="00C8266E" w:rsidP="00C8266E">
      <w:pPr>
        <w:rPr>
          <w:rFonts w:ascii="Times New Roman" w:hAnsi="Times New Roman" w:cs="Times New Roman"/>
          <w:b/>
          <w:sz w:val="24"/>
          <w:szCs w:val="24"/>
        </w:rPr>
      </w:pPr>
      <w:r w:rsidRPr="00C8266E">
        <w:rPr>
          <w:rFonts w:ascii="Times New Roman" w:hAnsi="Times New Roman" w:cs="Times New Roman"/>
          <w:b/>
          <w:sz w:val="24"/>
          <w:szCs w:val="24"/>
        </w:rPr>
        <w:t>Rezerva na pojistná plnění</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Počítána obdobně jako v současnosti s tím, že rezerva na nahlášené, ale ještě nezlikvidované škody (RBNS) je stanovována u každé škody individuálně, oproti CAS je zohledňována časová hodnota peněz (bere se do úvahy průměrná doba od nahlášení škody do výplaty pojistného plnění) vypočtená pomocí modifikované durace a této duraci příslušné bezrizikové úrokové míry.</w:t>
      </w:r>
    </w:p>
    <w:p w:rsid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Rezerva na vzniklé ale ještě nenahlášené škody (IBNR) je spočtena pomocí trojúhelníkové metody (chainladder), oproti CAS je zohledňována časová hodnota peněz (bere se do úvahy a průměrná doba od vzniku škody do výplaty u rezervy IBNR)vypočtená pomocí modifikované durace a této duraci příslušné bezrizikové úrokové míry.</w:t>
      </w:r>
    </w:p>
    <w:p w:rsidR="00C8266E" w:rsidRPr="00C8266E" w:rsidRDefault="00C8266E" w:rsidP="00C8266E">
      <w:pPr>
        <w:rPr>
          <w:rFonts w:ascii="Times New Roman" w:hAnsi="Times New Roman" w:cs="Times New Roman"/>
          <w:b/>
          <w:sz w:val="24"/>
          <w:szCs w:val="24"/>
        </w:rPr>
      </w:pPr>
      <w:r w:rsidRPr="00C8266E">
        <w:rPr>
          <w:rFonts w:ascii="Times New Roman" w:hAnsi="Times New Roman" w:cs="Times New Roman"/>
          <w:b/>
          <w:sz w:val="24"/>
          <w:szCs w:val="24"/>
        </w:rPr>
        <w:t>Riziková přirážka</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 xml:space="preserve">Počítána na simplifikace </w:t>
      </w:r>
      <w:r>
        <w:rPr>
          <w:rFonts w:ascii="Times New Roman" w:hAnsi="Times New Roman" w:cs="Times New Roman"/>
          <w:sz w:val="24"/>
          <w:szCs w:val="24"/>
        </w:rPr>
        <w:t>3 úrovně, k</w:t>
      </w:r>
      <w:r w:rsidRPr="00C8266E">
        <w:rPr>
          <w:rFonts w:ascii="Times New Roman" w:hAnsi="Times New Roman" w:cs="Times New Roman"/>
          <w:sz w:val="24"/>
          <w:szCs w:val="24"/>
        </w:rPr>
        <w:t xml:space="preserve">onkrétně je počítána pomocí vzorce </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CoCM= CoC</w:t>
      </w:r>
      <w:r>
        <w:rPr>
          <w:rFonts w:ascii="Times New Roman" w:hAnsi="Times New Roman" w:cs="Times New Roman"/>
          <w:sz w:val="24"/>
          <w:szCs w:val="24"/>
        </w:rPr>
        <w:t xml:space="preserve"> </w:t>
      </w:r>
      <w:r w:rsidRPr="00C8266E">
        <w:rPr>
          <w:rFonts w:ascii="Times New Roman" w:hAnsi="Times New Roman" w:cs="Times New Roman"/>
          <w:sz w:val="24"/>
          <w:szCs w:val="24"/>
        </w:rPr>
        <w:t>x</w:t>
      </w:r>
      <w:r>
        <w:rPr>
          <w:rFonts w:ascii="Times New Roman" w:hAnsi="Times New Roman" w:cs="Times New Roman"/>
          <w:sz w:val="24"/>
          <w:szCs w:val="24"/>
        </w:rPr>
        <w:t xml:space="preserve"> </w:t>
      </w:r>
      <w:r w:rsidRPr="00C8266E">
        <w:rPr>
          <w:rFonts w:ascii="Times New Roman" w:hAnsi="Times New Roman" w:cs="Times New Roman"/>
          <w:sz w:val="24"/>
          <w:szCs w:val="24"/>
        </w:rPr>
        <w:t>Durmod(0)</w:t>
      </w:r>
      <w:r>
        <w:rPr>
          <w:rFonts w:ascii="Times New Roman" w:hAnsi="Times New Roman" w:cs="Times New Roman"/>
          <w:sz w:val="24"/>
          <w:szCs w:val="24"/>
        </w:rPr>
        <w:t xml:space="preserve"> </w:t>
      </w:r>
      <w:r w:rsidRPr="00C8266E">
        <w:rPr>
          <w:rFonts w:ascii="Times New Roman" w:hAnsi="Times New Roman" w:cs="Times New Roman"/>
          <w:sz w:val="24"/>
          <w:szCs w:val="24"/>
        </w:rPr>
        <w:t>x</w:t>
      </w:r>
      <w:r>
        <w:rPr>
          <w:rFonts w:ascii="Times New Roman" w:hAnsi="Times New Roman" w:cs="Times New Roman"/>
          <w:sz w:val="24"/>
          <w:szCs w:val="24"/>
        </w:rPr>
        <w:t xml:space="preserve"> </w:t>
      </w:r>
      <w:r w:rsidRPr="00C8266E">
        <w:rPr>
          <w:rFonts w:ascii="Times New Roman" w:hAnsi="Times New Roman" w:cs="Times New Roman"/>
          <w:sz w:val="24"/>
          <w:szCs w:val="24"/>
        </w:rPr>
        <w:t>SCRRU(0)/(1+r1)</w:t>
      </w:r>
    </w:p>
    <w:p w:rsidR="00C8266E" w:rsidRPr="00C8266E" w:rsidRDefault="00C8266E" w:rsidP="00C8266E">
      <w:pPr>
        <w:rPr>
          <w:rFonts w:ascii="Times New Roman" w:hAnsi="Times New Roman" w:cs="Times New Roman"/>
          <w:sz w:val="24"/>
          <w:szCs w:val="24"/>
        </w:rPr>
      </w:pPr>
      <w:r w:rsidRPr="00C8266E">
        <w:rPr>
          <w:rFonts w:ascii="Times New Roman" w:hAnsi="Times New Roman" w:cs="Times New Roman"/>
          <w:sz w:val="24"/>
          <w:szCs w:val="24"/>
        </w:rPr>
        <w:t xml:space="preserve">kde: </w:t>
      </w:r>
    </w:p>
    <w:p w:rsidR="00C8266E" w:rsidRPr="00C8266E" w:rsidRDefault="00C8266E" w:rsidP="003F4A6C">
      <w:pPr>
        <w:pStyle w:val="Odstavecseseznamem"/>
        <w:numPr>
          <w:ilvl w:val="0"/>
          <w:numId w:val="17"/>
        </w:numPr>
        <w:rPr>
          <w:rFonts w:ascii="Times New Roman" w:hAnsi="Times New Roman" w:cs="Times New Roman"/>
          <w:sz w:val="24"/>
          <w:szCs w:val="24"/>
        </w:rPr>
      </w:pPr>
      <w:r w:rsidRPr="00C8266E">
        <w:rPr>
          <w:rFonts w:ascii="Times New Roman" w:hAnsi="Times New Roman" w:cs="Times New Roman"/>
          <w:sz w:val="24"/>
          <w:szCs w:val="24"/>
        </w:rPr>
        <w:t xml:space="preserve">SCRRU(0) = výše solventnostního kapitálového požadavku v čase t=0 pro portfolio pojistných či zajistných závazků referenčního podniku; </w:t>
      </w:r>
    </w:p>
    <w:p w:rsidR="00C8266E" w:rsidRPr="00C8266E" w:rsidRDefault="00C8266E" w:rsidP="003F4A6C">
      <w:pPr>
        <w:pStyle w:val="Odstavecseseznamem"/>
        <w:numPr>
          <w:ilvl w:val="0"/>
          <w:numId w:val="17"/>
        </w:numPr>
        <w:rPr>
          <w:rFonts w:ascii="Times New Roman" w:hAnsi="Times New Roman" w:cs="Times New Roman"/>
          <w:sz w:val="24"/>
          <w:szCs w:val="24"/>
        </w:rPr>
      </w:pPr>
      <w:r w:rsidRPr="00C8266E">
        <w:rPr>
          <w:rFonts w:ascii="Times New Roman" w:hAnsi="Times New Roman" w:cs="Times New Roman"/>
          <w:sz w:val="24"/>
          <w:szCs w:val="24"/>
        </w:rPr>
        <w:t>Durmod(0) = upravená doba trvání pojistných závazků referenčního podniku v t=0 bez částky zajištění</w:t>
      </w:r>
    </w:p>
    <w:p w:rsidR="00C8266E" w:rsidRPr="00C8266E" w:rsidRDefault="00C8266E" w:rsidP="003F4A6C">
      <w:pPr>
        <w:pStyle w:val="Odstavecseseznamem"/>
        <w:numPr>
          <w:ilvl w:val="0"/>
          <w:numId w:val="17"/>
        </w:numPr>
        <w:rPr>
          <w:rFonts w:ascii="Times New Roman" w:hAnsi="Times New Roman" w:cs="Times New Roman"/>
          <w:sz w:val="24"/>
          <w:szCs w:val="24"/>
        </w:rPr>
      </w:pPr>
      <w:r w:rsidRPr="00C8266E">
        <w:rPr>
          <w:rFonts w:ascii="Times New Roman" w:hAnsi="Times New Roman" w:cs="Times New Roman"/>
          <w:sz w:val="24"/>
          <w:szCs w:val="24"/>
        </w:rPr>
        <w:t>CoC= nákladovost kapitálu.</w:t>
      </w:r>
    </w:p>
    <w:tbl>
      <w:tblPr>
        <w:tblW w:w="9157" w:type="dxa"/>
        <w:tblInd w:w="55" w:type="dxa"/>
        <w:tblCellMar>
          <w:left w:w="70" w:type="dxa"/>
          <w:right w:w="70" w:type="dxa"/>
        </w:tblCellMar>
        <w:tblLook w:val="04A0" w:firstRow="1" w:lastRow="0" w:firstColumn="1" w:lastColumn="0" w:noHBand="0" w:noVBand="1"/>
      </w:tblPr>
      <w:tblGrid>
        <w:gridCol w:w="2201"/>
        <w:gridCol w:w="770"/>
        <w:gridCol w:w="771"/>
        <w:gridCol w:w="831"/>
        <w:gridCol w:w="871"/>
        <w:gridCol w:w="817"/>
        <w:gridCol w:w="2896"/>
      </w:tblGrid>
      <w:tr w:rsidR="002A23DC" w:rsidRPr="002A23DC" w:rsidTr="002A23DC">
        <w:trPr>
          <w:trHeight w:val="495"/>
        </w:trPr>
        <w:tc>
          <w:tcPr>
            <w:tcW w:w="2201"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Pojistná odvětví dle SII</w:t>
            </w:r>
          </w:p>
        </w:tc>
        <w:tc>
          <w:tcPr>
            <w:tcW w:w="770"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Období</w:t>
            </w:r>
          </w:p>
        </w:tc>
        <w:tc>
          <w:tcPr>
            <w:tcW w:w="771"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Účetní rezerva</w:t>
            </w:r>
          </w:p>
        </w:tc>
        <w:tc>
          <w:tcPr>
            <w:tcW w:w="831"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Nejlepší odhad</w:t>
            </w:r>
          </w:p>
        </w:tc>
        <w:tc>
          <w:tcPr>
            <w:tcW w:w="871"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Riziková marže</w:t>
            </w:r>
          </w:p>
        </w:tc>
        <w:tc>
          <w:tcPr>
            <w:tcW w:w="817"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SII rezerva</w:t>
            </w:r>
          </w:p>
        </w:tc>
        <w:tc>
          <w:tcPr>
            <w:tcW w:w="2896" w:type="dxa"/>
            <w:tcBorders>
              <w:top w:val="single" w:sz="8" w:space="0" w:color="auto"/>
              <w:left w:val="nil"/>
              <w:bottom w:val="single" w:sz="8" w:space="0" w:color="auto"/>
              <w:right w:val="single" w:sz="8" w:space="0" w:color="auto"/>
            </w:tcBorders>
            <w:shd w:val="clear" w:color="000000" w:fill="92D050"/>
            <w:vAlign w:val="center"/>
            <w:hideMark/>
          </w:tcPr>
          <w:p w:rsidR="002A23DC" w:rsidRPr="002A23DC" w:rsidRDefault="002A23DC" w:rsidP="002A23DC">
            <w:pPr>
              <w:spacing w:after="0" w:line="240" w:lineRule="auto"/>
              <w:jc w:val="center"/>
              <w:rPr>
                <w:rFonts w:ascii="Arial" w:eastAsia="Times New Roman" w:hAnsi="Arial" w:cs="Arial"/>
                <w:b/>
                <w:bCs/>
                <w:color w:val="FFFFFF"/>
                <w:sz w:val="18"/>
                <w:szCs w:val="18"/>
                <w:lang w:eastAsia="cs-CZ"/>
              </w:rPr>
            </w:pPr>
            <w:r w:rsidRPr="002A23DC">
              <w:rPr>
                <w:rFonts w:ascii="Arial" w:eastAsia="Times New Roman" w:hAnsi="Arial" w:cs="Arial"/>
                <w:b/>
                <w:bCs/>
                <w:color w:val="FFFFFF"/>
                <w:sz w:val="18"/>
                <w:szCs w:val="18"/>
                <w:lang w:eastAsia="cs-CZ"/>
              </w:rPr>
              <w:t>Komentář k použitým podkladům, metodám, předpokladům</w:t>
            </w:r>
          </w:p>
        </w:tc>
      </w:tr>
      <w:tr w:rsidR="002A23DC" w:rsidRPr="002A23DC" w:rsidTr="002A23DC">
        <w:trPr>
          <w:trHeight w:val="315"/>
        </w:trPr>
        <w:tc>
          <w:tcPr>
            <w:tcW w:w="2201" w:type="dxa"/>
            <w:vMerge w:val="restart"/>
            <w:tcBorders>
              <w:top w:val="nil"/>
              <w:left w:val="single" w:sz="8" w:space="0" w:color="auto"/>
              <w:bottom w:val="single" w:sz="8" w:space="0" w:color="000000"/>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Havarijní pojištění</w:t>
            </w:r>
          </w:p>
        </w:tc>
        <w:tc>
          <w:tcPr>
            <w:tcW w:w="770"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2016</w:t>
            </w:r>
          </w:p>
        </w:tc>
        <w:tc>
          <w:tcPr>
            <w:tcW w:w="7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9 979</w:t>
            </w:r>
          </w:p>
        </w:tc>
        <w:tc>
          <w:tcPr>
            <w:tcW w:w="83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9 092</w:t>
            </w:r>
          </w:p>
        </w:tc>
        <w:tc>
          <w:tcPr>
            <w:tcW w:w="8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1 181</w:t>
            </w:r>
          </w:p>
        </w:tc>
        <w:tc>
          <w:tcPr>
            <w:tcW w:w="817"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10 273</w:t>
            </w:r>
          </w:p>
        </w:tc>
        <w:tc>
          <w:tcPr>
            <w:tcW w:w="2896"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 </w:t>
            </w:r>
          </w:p>
        </w:tc>
      </w:tr>
      <w:tr w:rsidR="002A23DC" w:rsidRPr="002A23DC" w:rsidTr="002A23DC">
        <w:trPr>
          <w:trHeight w:val="315"/>
        </w:trPr>
        <w:tc>
          <w:tcPr>
            <w:tcW w:w="2201" w:type="dxa"/>
            <w:vMerge/>
            <w:tcBorders>
              <w:top w:val="nil"/>
              <w:left w:val="single" w:sz="8" w:space="0" w:color="auto"/>
              <w:bottom w:val="single" w:sz="8" w:space="0" w:color="000000"/>
              <w:right w:val="single" w:sz="8" w:space="0" w:color="auto"/>
            </w:tcBorders>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p>
        </w:tc>
        <w:tc>
          <w:tcPr>
            <w:tcW w:w="770"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2015</w:t>
            </w:r>
          </w:p>
        </w:tc>
        <w:tc>
          <w:tcPr>
            <w:tcW w:w="7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12 322</w:t>
            </w:r>
          </w:p>
        </w:tc>
        <w:tc>
          <w:tcPr>
            <w:tcW w:w="83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10 077</w:t>
            </w:r>
          </w:p>
        </w:tc>
        <w:tc>
          <w:tcPr>
            <w:tcW w:w="8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1 359</w:t>
            </w:r>
          </w:p>
        </w:tc>
        <w:tc>
          <w:tcPr>
            <w:tcW w:w="817"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11 436</w:t>
            </w:r>
          </w:p>
        </w:tc>
        <w:tc>
          <w:tcPr>
            <w:tcW w:w="2896"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 </w:t>
            </w:r>
          </w:p>
        </w:tc>
      </w:tr>
      <w:tr w:rsidR="002A23DC" w:rsidRPr="002A23DC" w:rsidTr="002A23DC">
        <w:trPr>
          <w:trHeight w:val="315"/>
        </w:trPr>
        <w:tc>
          <w:tcPr>
            <w:tcW w:w="2201" w:type="dxa"/>
            <w:vMerge w:val="restart"/>
            <w:tcBorders>
              <w:top w:val="nil"/>
              <w:left w:val="single" w:sz="8" w:space="0" w:color="auto"/>
              <w:bottom w:val="single" w:sz="8" w:space="0" w:color="000000"/>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Ostatní</w:t>
            </w:r>
          </w:p>
        </w:tc>
        <w:tc>
          <w:tcPr>
            <w:tcW w:w="770"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2016</w:t>
            </w:r>
          </w:p>
        </w:tc>
        <w:tc>
          <w:tcPr>
            <w:tcW w:w="7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3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17"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2896"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Pojišťovna neprovozuje jiná odvětví</w:t>
            </w:r>
          </w:p>
        </w:tc>
      </w:tr>
      <w:tr w:rsidR="002A23DC" w:rsidRPr="002A23DC" w:rsidTr="002A23DC">
        <w:trPr>
          <w:trHeight w:val="315"/>
        </w:trPr>
        <w:tc>
          <w:tcPr>
            <w:tcW w:w="2201" w:type="dxa"/>
            <w:vMerge/>
            <w:tcBorders>
              <w:top w:val="nil"/>
              <w:left w:val="single" w:sz="8" w:space="0" w:color="auto"/>
              <w:bottom w:val="single" w:sz="8" w:space="0" w:color="000000"/>
              <w:right w:val="single" w:sz="8" w:space="0" w:color="auto"/>
            </w:tcBorders>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p>
        </w:tc>
        <w:tc>
          <w:tcPr>
            <w:tcW w:w="770"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2015</w:t>
            </w:r>
          </w:p>
        </w:tc>
        <w:tc>
          <w:tcPr>
            <w:tcW w:w="7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3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71"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817"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jc w:val="right"/>
              <w:rPr>
                <w:rFonts w:ascii="Arial" w:eastAsia="Times New Roman" w:hAnsi="Arial" w:cs="Arial"/>
                <w:color w:val="000000"/>
                <w:sz w:val="18"/>
                <w:szCs w:val="18"/>
                <w:lang w:eastAsia="cs-CZ"/>
              </w:rPr>
            </w:pPr>
            <w:r w:rsidRPr="002A23DC">
              <w:rPr>
                <w:rFonts w:ascii="Arial" w:eastAsia="Times New Roman" w:hAnsi="Arial" w:cs="Arial"/>
                <w:color w:val="000000"/>
                <w:sz w:val="18"/>
                <w:szCs w:val="18"/>
                <w:lang w:eastAsia="cs-CZ"/>
              </w:rPr>
              <w:t>0</w:t>
            </w:r>
          </w:p>
        </w:tc>
        <w:tc>
          <w:tcPr>
            <w:tcW w:w="2896" w:type="dxa"/>
            <w:tcBorders>
              <w:top w:val="nil"/>
              <w:left w:val="nil"/>
              <w:bottom w:val="single" w:sz="8" w:space="0" w:color="auto"/>
              <w:right w:val="single" w:sz="8" w:space="0" w:color="auto"/>
            </w:tcBorders>
            <w:shd w:val="clear" w:color="auto" w:fill="auto"/>
            <w:vAlign w:val="center"/>
            <w:hideMark/>
          </w:tcPr>
          <w:p w:rsidR="002A23DC" w:rsidRPr="002A23DC" w:rsidRDefault="002A23DC" w:rsidP="002A23DC">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P</w:t>
            </w:r>
            <w:r w:rsidRPr="002A23DC">
              <w:rPr>
                <w:rFonts w:ascii="Arial" w:eastAsia="Times New Roman" w:hAnsi="Arial" w:cs="Arial"/>
                <w:color w:val="000000"/>
                <w:sz w:val="18"/>
                <w:szCs w:val="18"/>
                <w:lang w:eastAsia="cs-CZ"/>
              </w:rPr>
              <w:t>ojišťovna neprovozuje jiná odvětví</w:t>
            </w:r>
          </w:p>
        </w:tc>
      </w:tr>
      <w:tr w:rsidR="002A23DC" w:rsidRPr="002A23DC" w:rsidTr="002A23DC">
        <w:trPr>
          <w:trHeight w:val="315"/>
        </w:trPr>
        <w:tc>
          <w:tcPr>
            <w:tcW w:w="2201" w:type="dxa"/>
            <w:vMerge w:val="restart"/>
            <w:tcBorders>
              <w:top w:val="nil"/>
              <w:left w:val="single" w:sz="8" w:space="0" w:color="auto"/>
              <w:bottom w:val="single" w:sz="8" w:space="0" w:color="000000"/>
              <w:right w:val="single" w:sz="8" w:space="0" w:color="auto"/>
            </w:tcBorders>
            <w:shd w:val="clear" w:color="000000" w:fill="D9D9D9"/>
            <w:vAlign w:val="center"/>
            <w:hideMark/>
          </w:tcPr>
          <w:p w:rsidR="002A23DC" w:rsidRPr="002A23DC" w:rsidRDefault="002A23DC" w:rsidP="002A23DC">
            <w:pPr>
              <w:spacing w:after="0" w:line="240" w:lineRule="auto"/>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 xml:space="preserve">Celkem </w:t>
            </w:r>
          </w:p>
        </w:tc>
        <w:tc>
          <w:tcPr>
            <w:tcW w:w="770"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2016</w:t>
            </w:r>
          </w:p>
        </w:tc>
        <w:tc>
          <w:tcPr>
            <w:tcW w:w="77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9 979</w:t>
            </w:r>
          </w:p>
        </w:tc>
        <w:tc>
          <w:tcPr>
            <w:tcW w:w="83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9 092</w:t>
            </w:r>
          </w:p>
        </w:tc>
        <w:tc>
          <w:tcPr>
            <w:tcW w:w="87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1 181</w:t>
            </w:r>
          </w:p>
        </w:tc>
        <w:tc>
          <w:tcPr>
            <w:tcW w:w="817"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10 273</w:t>
            </w:r>
          </w:p>
        </w:tc>
        <w:tc>
          <w:tcPr>
            <w:tcW w:w="2896"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 </w:t>
            </w:r>
          </w:p>
        </w:tc>
      </w:tr>
      <w:tr w:rsidR="002A23DC" w:rsidRPr="002A23DC" w:rsidTr="002A23DC">
        <w:trPr>
          <w:trHeight w:val="315"/>
        </w:trPr>
        <w:tc>
          <w:tcPr>
            <w:tcW w:w="2201" w:type="dxa"/>
            <w:vMerge/>
            <w:tcBorders>
              <w:top w:val="nil"/>
              <w:left w:val="single" w:sz="8" w:space="0" w:color="auto"/>
              <w:bottom w:val="single" w:sz="8" w:space="0" w:color="000000"/>
              <w:right w:val="single" w:sz="8" w:space="0" w:color="auto"/>
            </w:tcBorders>
            <w:vAlign w:val="center"/>
            <w:hideMark/>
          </w:tcPr>
          <w:p w:rsidR="002A23DC" w:rsidRPr="002A23DC" w:rsidRDefault="002A23DC" w:rsidP="002A23DC">
            <w:pPr>
              <w:spacing w:after="0" w:line="240" w:lineRule="auto"/>
              <w:rPr>
                <w:rFonts w:ascii="Arial" w:eastAsia="Times New Roman" w:hAnsi="Arial" w:cs="Arial"/>
                <w:b/>
                <w:bCs/>
                <w:color w:val="000000"/>
                <w:sz w:val="18"/>
                <w:szCs w:val="18"/>
                <w:lang w:eastAsia="cs-CZ"/>
              </w:rPr>
            </w:pPr>
          </w:p>
        </w:tc>
        <w:tc>
          <w:tcPr>
            <w:tcW w:w="770"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2015</w:t>
            </w:r>
          </w:p>
        </w:tc>
        <w:tc>
          <w:tcPr>
            <w:tcW w:w="77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12 322</w:t>
            </w:r>
          </w:p>
        </w:tc>
        <w:tc>
          <w:tcPr>
            <w:tcW w:w="83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10 077</w:t>
            </w:r>
          </w:p>
        </w:tc>
        <w:tc>
          <w:tcPr>
            <w:tcW w:w="871"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1 359</w:t>
            </w:r>
          </w:p>
        </w:tc>
        <w:tc>
          <w:tcPr>
            <w:tcW w:w="817"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jc w:val="right"/>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11 436</w:t>
            </w:r>
          </w:p>
        </w:tc>
        <w:tc>
          <w:tcPr>
            <w:tcW w:w="2896" w:type="dxa"/>
            <w:tcBorders>
              <w:top w:val="nil"/>
              <w:left w:val="nil"/>
              <w:bottom w:val="single" w:sz="8" w:space="0" w:color="auto"/>
              <w:right w:val="single" w:sz="8" w:space="0" w:color="auto"/>
            </w:tcBorders>
            <w:shd w:val="clear" w:color="000000" w:fill="D9D9D9"/>
            <w:vAlign w:val="center"/>
            <w:hideMark/>
          </w:tcPr>
          <w:p w:rsidR="002A23DC" w:rsidRPr="002A23DC" w:rsidRDefault="002A23DC" w:rsidP="002A23DC">
            <w:pPr>
              <w:spacing w:after="0" w:line="240" w:lineRule="auto"/>
              <w:rPr>
                <w:rFonts w:ascii="Arial" w:eastAsia="Times New Roman" w:hAnsi="Arial" w:cs="Arial"/>
                <w:b/>
                <w:bCs/>
                <w:color w:val="000000"/>
                <w:sz w:val="18"/>
                <w:szCs w:val="18"/>
                <w:lang w:eastAsia="cs-CZ"/>
              </w:rPr>
            </w:pPr>
            <w:r w:rsidRPr="002A23DC">
              <w:rPr>
                <w:rFonts w:ascii="Arial" w:eastAsia="Times New Roman" w:hAnsi="Arial" w:cs="Arial"/>
                <w:b/>
                <w:bCs/>
                <w:color w:val="000000"/>
                <w:sz w:val="18"/>
                <w:szCs w:val="18"/>
                <w:lang w:eastAsia="cs-CZ"/>
              </w:rPr>
              <w:t> </w:t>
            </w:r>
          </w:p>
        </w:tc>
      </w:tr>
    </w:tbl>
    <w:p w:rsidR="002A23DC" w:rsidRDefault="002A23DC" w:rsidP="00AA04AA">
      <w:pPr>
        <w:rPr>
          <w:rFonts w:ascii="Times New Roman" w:hAnsi="Times New Roman" w:cs="Times New Roman"/>
          <w:sz w:val="24"/>
          <w:szCs w:val="24"/>
        </w:rPr>
      </w:pPr>
    </w:p>
    <w:p w:rsidR="00AA04AA" w:rsidRDefault="00AA04AA" w:rsidP="00AA04AA">
      <w:pPr>
        <w:rPr>
          <w:rFonts w:ascii="Times New Roman" w:hAnsi="Times New Roman" w:cs="Times New Roman"/>
          <w:b/>
          <w:sz w:val="28"/>
          <w:szCs w:val="28"/>
        </w:rPr>
      </w:pPr>
      <w:r w:rsidRPr="00AA04AA">
        <w:rPr>
          <w:rFonts w:ascii="Times New Roman" w:hAnsi="Times New Roman" w:cs="Times New Roman"/>
          <w:b/>
          <w:sz w:val="28"/>
          <w:szCs w:val="28"/>
        </w:rPr>
        <w:t>4.3</w:t>
      </w:r>
      <w:r w:rsidRPr="00AA04AA">
        <w:rPr>
          <w:rFonts w:ascii="Times New Roman" w:hAnsi="Times New Roman" w:cs="Times New Roman"/>
          <w:b/>
          <w:sz w:val="28"/>
          <w:szCs w:val="28"/>
        </w:rPr>
        <w:tab/>
        <w:t>Další závazky</w:t>
      </w:r>
    </w:p>
    <w:p w:rsidR="00365FD2" w:rsidRDefault="00C8266E" w:rsidP="00365FD2">
      <w:pPr>
        <w:rPr>
          <w:rFonts w:ascii="Times New Roman" w:hAnsi="Times New Roman" w:cs="Times New Roman"/>
          <w:sz w:val="24"/>
          <w:szCs w:val="24"/>
        </w:rPr>
      </w:pPr>
      <w:r w:rsidRPr="00C8266E">
        <w:rPr>
          <w:rFonts w:ascii="Times New Roman" w:hAnsi="Times New Roman" w:cs="Times New Roman"/>
          <w:sz w:val="24"/>
          <w:szCs w:val="24"/>
        </w:rPr>
        <w:t>U ostatních závazků není mezi oceňováním pro účely Solventnosti II a CAS žádný rozdíl.</w:t>
      </w:r>
      <w:r w:rsidR="00365FD2">
        <w:rPr>
          <w:rFonts w:ascii="Times New Roman" w:hAnsi="Times New Roman" w:cs="Times New Roman"/>
          <w:sz w:val="24"/>
          <w:szCs w:val="24"/>
        </w:rPr>
        <w:t xml:space="preserve"> </w:t>
      </w:r>
      <w:r w:rsidR="00365FD2" w:rsidRPr="00210C84">
        <w:rPr>
          <w:rFonts w:ascii="Times New Roman" w:hAnsi="Times New Roman" w:cs="Times New Roman"/>
          <w:sz w:val="24"/>
          <w:szCs w:val="24"/>
        </w:rPr>
        <w:t>Při oceňování aktiv, technických rezerv a jiných závazků pro účely solventnosti se nepředpokládají žádná budoucí opatření vedoucích pracovníků.</w:t>
      </w:r>
      <w:r w:rsidR="00365FD2">
        <w:rPr>
          <w:rFonts w:ascii="Times New Roman" w:hAnsi="Times New Roman" w:cs="Times New Roman"/>
          <w:sz w:val="24"/>
          <w:szCs w:val="24"/>
        </w:rPr>
        <w:t xml:space="preserve"> </w:t>
      </w:r>
    </w:p>
    <w:p w:rsidR="00365FD2" w:rsidRPr="00AA04AA" w:rsidRDefault="00365FD2" w:rsidP="00365FD2">
      <w:pPr>
        <w:rPr>
          <w:rFonts w:ascii="Times New Roman" w:hAnsi="Times New Roman" w:cs="Times New Roman"/>
          <w:sz w:val="24"/>
          <w:szCs w:val="24"/>
        </w:rPr>
      </w:pPr>
      <w:r>
        <w:rPr>
          <w:rFonts w:ascii="Times New Roman" w:hAnsi="Times New Roman" w:cs="Times New Roman"/>
          <w:sz w:val="24"/>
          <w:szCs w:val="24"/>
        </w:rPr>
        <w:t xml:space="preserve">Při výpočtu technických rezerv, vzhledem k tomu, že je Pojišťovna pojišťovnou neživotní a hranice kontraktu není u žádné smlouvy delší než do nejbližšího výročí (a tedy maximálně 1 rok) se nezohledňuje budoucí chování pojistníků. </w:t>
      </w:r>
    </w:p>
    <w:p w:rsidR="00AA04AA" w:rsidRPr="00AA04AA" w:rsidRDefault="00AA04AA" w:rsidP="00AA04AA">
      <w:pPr>
        <w:rPr>
          <w:rFonts w:ascii="Times New Roman" w:hAnsi="Times New Roman" w:cs="Times New Roman"/>
          <w:b/>
          <w:sz w:val="28"/>
          <w:szCs w:val="28"/>
        </w:rPr>
      </w:pPr>
      <w:r w:rsidRPr="00AA04AA">
        <w:rPr>
          <w:rFonts w:ascii="Times New Roman" w:hAnsi="Times New Roman" w:cs="Times New Roman"/>
          <w:b/>
          <w:sz w:val="28"/>
          <w:szCs w:val="28"/>
        </w:rPr>
        <w:t>4.4</w:t>
      </w:r>
      <w:r w:rsidRPr="00AA04AA">
        <w:rPr>
          <w:rFonts w:ascii="Times New Roman" w:hAnsi="Times New Roman" w:cs="Times New Roman"/>
          <w:b/>
          <w:sz w:val="28"/>
          <w:szCs w:val="28"/>
        </w:rPr>
        <w:tab/>
        <w:t>Alternativní metody oceňování</w:t>
      </w:r>
    </w:p>
    <w:p w:rsidR="00C8266E" w:rsidRPr="00AA04AA" w:rsidRDefault="00365FD2" w:rsidP="00AA04AA">
      <w:pPr>
        <w:rPr>
          <w:rFonts w:ascii="Times New Roman" w:hAnsi="Times New Roman" w:cs="Times New Roman"/>
          <w:sz w:val="24"/>
          <w:szCs w:val="24"/>
        </w:rPr>
      </w:pPr>
      <w:r w:rsidRPr="00365FD2">
        <w:rPr>
          <w:rFonts w:ascii="Times New Roman" w:hAnsi="Times New Roman" w:cs="Times New Roman"/>
          <w:sz w:val="24"/>
          <w:szCs w:val="24"/>
        </w:rPr>
        <w:t>Alternativní metoda oceňování je použita u ocenění nemovitostí, k jejich ocenění je použit posudek nezávislého znalce.</w:t>
      </w:r>
    </w:p>
    <w:p w:rsidR="00AA04AA" w:rsidRDefault="00AA04AA" w:rsidP="00AA04AA">
      <w:pPr>
        <w:rPr>
          <w:rFonts w:ascii="Times New Roman" w:hAnsi="Times New Roman" w:cs="Times New Roman"/>
          <w:b/>
          <w:sz w:val="28"/>
          <w:szCs w:val="28"/>
        </w:rPr>
      </w:pPr>
      <w:r w:rsidRPr="00AA04AA">
        <w:rPr>
          <w:rFonts w:ascii="Times New Roman" w:hAnsi="Times New Roman" w:cs="Times New Roman"/>
          <w:b/>
          <w:sz w:val="28"/>
          <w:szCs w:val="28"/>
        </w:rPr>
        <w:t>4.5</w:t>
      </w:r>
      <w:r w:rsidRPr="00AA04AA">
        <w:rPr>
          <w:rFonts w:ascii="Times New Roman" w:hAnsi="Times New Roman" w:cs="Times New Roman"/>
          <w:b/>
          <w:sz w:val="28"/>
          <w:szCs w:val="28"/>
        </w:rPr>
        <w:tab/>
        <w:t>Další informace</w:t>
      </w:r>
    </w:p>
    <w:p w:rsidR="00365FD2" w:rsidRPr="00210C84" w:rsidRDefault="00365FD2" w:rsidP="00365FD2">
      <w:pPr>
        <w:rPr>
          <w:rFonts w:ascii="Times New Roman" w:hAnsi="Times New Roman" w:cs="Times New Roman"/>
          <w:sz w:val="24"/>
          <w:szCs w:val="24"/>
        </w:rPr>
      </w:pPr>
      <w:r w:rsidRPr="00210C84">
        <w:rPr>
          <w:rFonts w:ascii="Times New Roman" w:hAnsi="Times New Roman" w:cs="Times New Roman"/>
          <w:sz w:val="24"/>
          <w:szCs w:val="24"/>
        </w:rPr>
        <w:t>Pojišťovna neuplatňuje koeficient volatility podle článku 77d směrnice 2009/138/ES.</w:t>
      </w:r>
    </w:p>
    <w:p w:rsidR="00365FD2" w:rsidRPr="00210C84" w:rsidRDefault="00365FD2" w:rsidP="00365FD2">
      <w:pPr>
        <w:rPr>
          <w:rFonts w:ascii="Times New Roman" w:hAnsi="Times New Roman" w:cs="Times New Roman"/>
          <w:sz w:val="24"/>
          <w:szCs w:val="24"/>
        </w:rPr>
      </w:pPr>
      <w:r w:rsidRPr="00210C84">
        <w:rPr>
          <w:rFonts w:ascii="Times New Roman" w:hAnsi="Times New Roman" w:cs="Times New Roman"/>
          <w:sz w:val="24"/>
          <w:szCs w:val="24"/>
        </w:rPr>
        <w:t>Pojišťovna neuplatňuje přechodnou úpravu příslušné časové struktury bezrizikových úrokových měr podle článku 308c směrnice 2009/138/ES.</w:t>
      </w:r>
    </w:p>
    <w:p w:rsidR="00365FD2" w:rsidRDefault="00365FD2" w:rsidP="00365FD2">
      <w:pPr>
        <w:rPr>
          <w:rFonts w:ascii="Times New Roman" w:hAnsi="Times New Roman" w:cs="Times New Roman"/>
          <w:sz w:val="24"/>
          <w:szCs w:val="24"/>
        </w:rPr>
      </w:pPr>
      <w:r w:rsidRPr="00210C84">
        <w:rPr>
          <w:rFonts w:ascii="Times New Roman" w:hAnsi="Times New Roman" w:cs="Times New Roman"/>
          <w:sz w:val="24"/>
          <w:szCs w:val="24"/>
        </w:rPr>
        <w:t>Pojišťovna neuplatňuje přechodný odpočet podle článku 308d směrnice 2009/138/ES.</w:t>
      </w:r>
      <w:r w:rsidRPr="00210C84" w:rsidDel="00210C84">
        <w:rPr>
          <w:rFonts w:ascii="Times New Roman" w:hAnsi="Times New Roman" w:cs="Times New Roman"/>
          <w:sz w:val="24"/>
          <w:szCs w:val="24"/>
        </w:rPr>
        <w:t xml:space="preserve"> </w:t>
      </w:r>
    </w:p>
    <w:p w:rsidR="00477DAA" w:rsidRDefault="00477DAA" w:rsidP="004155BA">
      <w:pPr>
        <w:rPr>
          <w:rFonts w:ascii="Times New Roman" w:hAnsi="Times New Roman" w:cs="Times New Roman"/>
          <w:b/>
          <w:sz w:val="28"/>
          <w:szCs w:val="28"/>
        </w:rPr>
      </w:pPr>
    </w:p>
    <w:p w:rsidR="00477DAA" w:rsidRDefault="00477DAA" w:rsidP="004155BA">
      <w:pPr>
        <w:rPr>
          <w:rFonts w:ascii="Times New Roman" w:hAnsi="Times New Roman" w:cs="Times New Roman"/>
          <w:b/>
          <w:sz w:val="28"/>
          <w:szCs w:val="28"/>
        </w:rPr>
      </w:pPr>
    </w:p>
    <w:p w:rsidR="00477DAA" w:rsidRDefault="00477DAA" w:rsidP="004155BA">
      <w:pPr>
        <w:rPr>
          <w:rFonts w:ascii="Times New Roman" w:hAnsi="Times New Roman" w:cs="Times New Roman"/>
          <w:b/>
          <w:sz w:val="28"/>
          <w:szCs w:val="28"/>
        </w:rPr>
      </w:pPr>
    </w:p>
    <w:p w:rsidR="004155BA" w:rsidRPr="004155BA" w:rsidRDefault="004155BA" w:rsidP="004155BA">
      <w:pPr>
        <w:rPr>
          <w:rFonts w:ascii="Times New Roman" w:hAnsi="Times New Roman" w:cs="Times New Roman"/>
          <w:b/>
          <w:sz w:val="28"/>
          <w:szCs w:val="28"/>
        </w:rPr>
      </w:pPr>
      <w:r w:rsidRPr="004155BA">
        <w:rPr>
          <w:rFonts w:ascii="Times New Roman" w:hAnsi="Times New Roman" w:cs="Times New Roman"/>
          <w:b/>
          <w:sz w:val="28"/>
          <w:szCs w:val="28"/>
        </w:rPr>
        <w:t>5</w:t>
      </w:r>
      <w:r w:rsidRPr="004155BA">
        <w:rPr>
          <w:rFonts w:ascii="Times New Roman" w:hAnsi="Times New Roman" w:cs="Times New Roman"/>
          <w:b/>
          <w:sz w:val="28"/>
          <w:szCs w:val="28"/>
        </w:rPr>
        <w:tab/>
        <w:t>Řízení kapitálu</w:t>
      </w:r>
    </w:p>
    <w:p w:rsidR="004155BA" w:rsidRPr="004155BA" w:rsidRDefault="004155BA" w:rsidP="004155BA">
      <w:pPr>
        <w:rPr>
          <w:rFonts w:ascii="Times New Roman" w:hAnsi="Times New Roman" w:cs="Times New Roman"/>
          <w:b/>
          <w:sz w:val="28"/>
          <w:szCs w:val="28"/>
        </w:rPr>
      </w:pPr>
      <w:r w:rsidRPr="004155BA">
        <w:rPr>
          <w:rFonts w:ascii="Times New Roman" w:hAnsi="Times New Roman" w:cs="Times New Roman"/>
          <w:b/>
          <w:sz w:val="28"/>
          <w:szCs w:val="28"/>
        </w:rPr>
        <w:t>5.1</w:t>
      </w:r>
      <w:r w:rsidRPr="004155BA">
        <w:rPr>
          <w:rFonts w:ascii="Times New Roman" w:hAnsi="Times New Roman" w:cs="Times New Roman"/>
          <w:b/>
          <w:sz w:val="28"/>
          <w:szCs w:val="28"/>
        </w:rPr>
        <w:tab/>
        <w:t>Kapitál</w:t>
      </w:r>
    </w:p>
    <w:p w:rsidR="003E51FC" w:rsidRPr="003E51FC" w:rsidRDefault="003E51FC" w:rsidP="003E51FC">
      <w:pPr>
        <w:jc w:val="both"/>
        <w:rPr>
          <w:rFonts w:ascii="Times New Roman" w:hAnsi="Times New Roman" w:cs="Times New Roman"/>
          <w:sz w:val="24"/>
          <w:szCs w:val="24"/>
        </w:rPr>
      </w:pPr>
      <w:r w:rsidRPr="003E51FC">
        <w:rPr>
          <w:rFonts w:ascii="Times New Roman" w:hAnsi="Times New Roman" w:cs="Times New Roman"/>
          <w:sz w:val="24"/>
          <w:szCs w:val="24"/>
        </w:rPr>
        <w:t>Pojišťovna modeluje rizikový kapitál formou solventnostního kapitálového požadavku spočteného dle požadavků standardního vzorce regulace Solve</w:t>
      </w:r>
      <w:r>
        <w:rPr>
          <w:rFonts w:ascii="Times New Roman" w:hAnsi="Times New Roman" w:cs="Times New Roman"/>
          <w:sz w:val="24"/>
          <w:szCs w:val="24"/>
        </w:rPr>
        <w:t>ntn</w:t>
      </w:r>
      <w:r w:rsidRPr="003E51FC">
        <w:rPr>
          <w:rFonts w:ascii="Times New Roman" w:hAnsi="Times New Roman" w:cs="Times New Roman"/>
          <w:sz w:val="24"/>
          <w:szCs w:val="24"/>
        </w:rPr>
        <w:t xml:space="preserve">osti II. Společnost považuje za dostatečnost takovou výši kapitálu, jež převyšuje požadavky stanovené platnou legislativou a dostatečně reflektuje plány a cíle Společnosti na dané období. Společnost dostatečnou výši kapitálu vyjadřuje jako cílový solventnostní poměr (použitelný kapitál / SCR). Cílový solventnostní poměr pro konkrétní období je stanoven v kapitálové strategii Pojišťovny s ohledem na aktuální obchodní a rizikovou strategii. Pro rok 2017 byl cílový solventnostní poměr stanoven ve výši </w:t>
      </w:r>
      <w:r w:rsidR="004E1F5A">
        <w:rPr>
          <w:rFonts w:ascii="Times New Roman" w:hAnsi="Times New Roman" w:cs="Times New Roman"/>
          <w:sz w:val="24"/>
          <w:szCs w:val="24"/>
        </w:rPr>
        <w:t>130%</w:t>
      </w:r>
    </w:p>
    <w:p w:rsidR="003E51FC" w:rsidRPr="003E51FC" w:rsidRDefault="003E51FC" w:rsidP="003E51FC">
      <w:pPr>
        <w:jc w:val="both"/>
        <w:rPr>
          <w:rFonts w:ascii="Times New Roman" w:hAnsi="Times New Roman" w:cs="Times New Roman"/>
          <w:sz w:val="24"/>
          <w:szCs w:val="24"/>
        </w:rPr>
      </w:pPr>
      <w:r w:rsidRPr="003E51FC">
        <w:rPr>
          <w:rFonts w:ascii="Times New Roman" w:hAnsi="Times New Roman" w:cs="Times New Roman"/>
          <w:sz w:val="24"/>
          <w:szCs w:val="24"/>
        </w:rPr>
        <w:t>Ověření dostatečnosti kapitálu je pravidelně monitorováno zaměstnancem odpovědným za řízení rizik, včetně modelování předpokládaného budoucího vývoje kapitálových zdrojů. Minimálně jednou ročně  provádí zaměstnanec odpovědný za řízení rizik výpočet solventnosti dle standardní formule a je proveden zátěžový test dle Společností schválené metodiky. V případě zjištění výrazných změn v tržních parametrech nebo jiných skutečností, které by indikovaly, že Pojišťovna v budoucnu nebude plnit zákonné či vnitřní limity (kapitálové požadavky, zákonný limit na minimální výši vlastního kapitálu), eskaluje zaměstnanec odpovědný za řízení rizik toto zjištění současně s návrhem opatření.</w:t>
      </w:r>
    </w:p>
    <w:p w:rsidR="003E51FC" w:rsidRDefault="003E51FC" w:rsidP="003E51FC">
      <w:pPr>
        <w:jc w:val="both"/>
        <w:rPr>
          <w:sz w:val="20"/>
        </w:rPr>
      </w:pPr>
      <w:r w:rsidRPr="003E51FC">
        <w:rPr>
          <w:rFonts w:ascii="Times New Roman" w:hAnsi="Times New Roman" w:cs="Times New Roman"/>
          <w:sz w:val="24"/>
          <w:szCs w:val="24"/>
        </w:rPr>
        <w:t>Dostatečná výše kapitálu je přezkoumávána každoročně na základě aktuálních finančních výsledků, předpokládaného výhledu hospodaření a výsledků zátěžových testů, resp. výhledu kapitálové pozice, na jednání představenstva a dozorčí rady Pojišťovny.</w:t>
      </w:r>
    </w:p>
    <w:p w:rsidR="003E51FC" w:rsidRPr="003E51FC" w:rsidRDefault="003E51FC" w:rsidP="003E51FC">
      <w:pPr>
        <w:jc w:val="both"/>
        <w:rPr>
          <w:rFonts w:ascii="Times New Roman" w:hAnsi="Times New Roman" w:cs="Times New Roman"/>
          <w:sz w:val="24"/>
          <w:szCs w:val="24"/>
        </w:rPr>
      </w:pPr>
      <w:r w:rsidRPr="003E51FC">
        <w:rPr>
          <w:rFonts w:ascii="Times New Roman" w:hAnsi="Times New Roman" w:cs="Times New Roman"/>
          <w:sz w:val="24"/>
          <w:szCs w:val="24"/>
        </w:rPr>
        <w:t>V případě, že je zjištěna nižší než dostatečná výše kapitálu, výbor pro řízení rizik neprodleně přezkoumá situaci a, s přihlédnutím k výsledku zátěžových testů, předloží představenstvu Pojišťovny návrh na opatření. Opatřením může být navýšení základního kapitálu, zajištění podřízeného dluhu, úprava struktury aktiv nebo úprava zajistného programu.</w:t>
      </w:r>
    </w:p>
    <w:p w:rsidR="004155BA" w:rsidRDefault="003E51FC" w:rsidP="003E51FC">
      <w:pPr>
        <w:rPr>
          <w:rFonts w:ascii="Times New Roman" w:hAnsi="Times New Roman" w:cs="Times New Roman"/>
          <w:sz w:val="24"/>
          <w:szCs w:val="24"/>
        </w:rPr>
      </w:pPr>
      <w:r w:rsidRPr="003E51FC">
        <w:rPr>
          <w:rFonts w:ascii="Times New Roman" w:hAnsi="Times New Roman" w:cs="Times New Roman"/>
          <w:sz w:val="24"/>
          <w:szCs w:val="24"/>
        </w:rPr>
        <w:t>Informace o struktuře, výši a kvalitě kapitálu a analýza významných změn v každé třídě</w:t>
      </w:r>
      <w:r>
        <w:rPr>
          <w:rFonts w:ascii="Times New Roman" w:hAnsi="Times New Roman" w:cs="Times New Roman"/>
          <w:sz w:val="24"/>
          <w:szCs w:val="24"/>
        </w:rPr>
        <w:t xml:space="preserve"> jsou obsaženy v následující tabulce.</w:t>
      </w:r>
    </w:p>
    <w:tbl>
      <w:tblPr>
        <w:tblW w:w="6662" w:type="dxa"/>
        <w:jc w:val="center"/>
        <w:tblInd w:w="55" w:type="dxa"/>
        <w:tblCellMar>
          <w:left w:w="70" w:type="dxa"/>
          <w:right w:w="70" w:type="dxa"/>
        </w:tblCellMar>
        <w:tblLook w:val="04A0" w:firstRow="1" w:lastRow="0" w:firstColumn="1" w:lastColumn="0" w:noHBand="0" w:noVBand="1"/>
      </w:tblPr>
      <w:tblGrid>
        <w:gridCol w:w="2080"/>
        <w:gridCol w:w="891"/>
        <w:gridCol w:w="891"/>
        <w:gridCol w:w="2800"/>
      </w:tblGrid>
      <w:tr w:rsidR="00F926EB" w:rsidRPr="00F926EB" w:rsidTr="00F926EB">
        <w:trPr>
          <w:trHeight w:val="315"/>
          <w:jc w:val="center"/>
        </w:trPr>
        <w:tc>
          <w:tcPr>
            <w:tcW w:w="208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F926EB" w:rsidRPr="00F926EB" w:rsidRDefault="00F926EB" w:rsidP="00F926EB">
            <w:pPr>
              <w:spacing w:after="0" w:line="240" w:lineRule="auto"/>
              <w:jc w:val="center"/>
              <w:rPr>
                <w:rFonts w:ascii="Arial" w:eastAsia="Times New Roman" w:hAnsi="Arial" w:cs="Arial"/>
                <w:b/>
                <w:bCs/>
                <w:color w:val="FFFFFF"/>
                <w:sz w:val="18"/>
                <w:szCs w:val="18"/>
                <w:lang w:eastAsia="cs-CZ"/>
              </w:rPr>
            </w:pPr>
            <w:r w:rsidRPr="00F926EB">
              <w:rPr>
                <w:rFonts w:ascii="Arial" w:eastAsia="Times New Roman" w:hAnsi="Arial" w:cs="Arial"/>
                <w:b/>
                <w:bCs/>
                <w:color w:val="FFFFFF"/>
                <w:sz w:val="18"/>
                <w:szCs w:val="18"/>
                <w:lang w:eastAsia="cs-CZ"/>
              </w:rPr>
              <w:t>Vlastní kapitál</w:t>
            </w:r>
          </w:p>
        </w:tc>
        <w:tc>
          <w:tcPr>
            <w:tcW w:w="891" w:type="dxa"/>
            <w:tcBorders>
              <w:top w:val="single" w:sz="8" w:space="0" w:color="auto"/>
              <w:left w:val="nil"/>
              <w:bottom w:val="single" w:sz="8" w:space="0" w:color="auto"/>
              <w:right w:val="single" w:sz="8" w:space="0" w:color="auto"/>
            </w:tcBorders>
            <w:shd w:val="clear" w:color="000000" w:fill="92D050"/>
            <w:vAlign w:val="center"/>
            <w:hideMark/>
          </w:tcPr>
          <w:p w:rsidR="00F926EB" w:rsidRPr="00F926EB" w:rsidRDefault="00F926EB" w:rsidP="00F926EB">
            <w:pPr>
              <w:spacing w:after="0" w:line="240" w:lineRule="auto"/>
              <w:jc w:val="center"/>
              <w:rPr>
                <w:rFonts w:ascii="Arial" w:eastAsia="Times New Roman" w:hAnsi="Arial" w:cs="Arial"/>
                <w:b/>
                <w:bCs/>
                <w:color w:val="FFFFFF"/>
                <w:sz w:val="18"/>
                <w:szCs w:val="18"/>
                <w:lang w:eastAsia="cs-CZ"/>
              </w:rPr>
            </w:pPr>
            <w:r w:rsidRPr="00F926EB">
              <w:rPr>
                <w:rFonts w:ascii="Arial" w:eastAsia="Times New Roman" w:hAnsi="Arial" w:cs="Arial"/>
                <w:b/>
                <w:bCs/>
                <w:color w:val="FFFFFF"/>
                <w:sz w:val="18"/>
                <w:szCs w:val="18"/>
                <w:lang w:eastAsia="cs-CZ"/>
              </w:rPr>
              <w:t>2016</w:t>
            </w:r>
          </w:p>
        </w:tc>
        <w:tc>
          <w:tcPr>
            <w:tcW w:w="891" w:type="dxa"/>
            <w:tcBorders>
              <w:top w:val="single" w:sz="8" w:space="0" w:color="auto"/>
              <w:left w:val="nil"/>
              <w:bottom w:val="single" w:sz="8" w:space="0" w:color="auto"/>
              <w:right w:val="single" w:sz="8" w:space="0" w:color="auto"/>
            </w:tcBorders>
            <w:shd w:val="clear" w:color="000000" w:fill="92D050"/>
            <w:vAlign w:val="center"/>
            <w:hideMark/>
          </w:tcPr>
          <w:p w:rsidR="00F926EB" w:rsidRPr="00F926EB" w:rsidRDefault="00F926EB" w:rsidP="00F926EB">
            <w:pPr>
              <w:spacing w:after="0" w:line="240" w:lineRule="auto"/>
              <w:jc w:val="center"/>
              <w:rPr>
                <w:rFonts w:ascii="Arial" w:eastAsia="Times New Roman" w:hAnsi="Arial" w:cs="Arial"/>
                <w:b/>
                <w:bCs/>
                <w:color w:val="FFFFFF"/>
                <w:sz w:val="18"/>
                <w:szCs w:val="18"/>
                <w:lang w:eastAsia="cs-CZ"/>
              </w:rPr>
            </w:pPr>
            <w:r w:rsidRPr="00F926EB">
              <w:rPr>
                <w:rFonts w:ascii="Arial" w:eastAsia="Times New Roman" w:hAnsi="Arial" w:cs="Arial"/>
                <w:b/>
                <w:bCs/>
                <w:color w:val="FFFFFF"/>
                <w:sz w:val="18"/>
                <w:szCs w:val="18"/>
                <w:lang w:eastAsia="cs-CZ"/>
              </w:rPr>
              <w:t>2015</w:t>
            </w:r>
          </w:p>
        </w:tc>
        <w:tc>
          <w:tcPr>
            <w:tcW w:w="2800" w:type="dxa"/>
            <w:tcBorders>
              <w:top w:val="single" w:sz="8" w:space="0" w:color="auto"/>
              <w:left w:val="nil"/>
              <w:bottom w:val="single" w:sz="8" w:space="0" w:color="auto"/>
              <w:right w:val="single" w:sz="8" w:space="0" w:color="auto"/>
            </w:tcBorders>
            <w:shd w:val="clear" w:color="000000" w:fill="92D050"/>
            <w:vAlign w:val="center"/>
            <w:hideMark/>
          </w:tcPr>
          <w:p w:rsidR="00F926EB" w:rsidRPr="00F926EB" w:rsidRDefault="00F926EB" w:rsidP="00F926EB">
            <w:pPr>
              <w:spacing w:after="0" w:line="240" w:lineRule="auto"/>
              <w:jc w:val="center"/>
              <w:rPr>
                <w:rFonts w:ascii="Arial" w:eastAsia="Times New Roman" w:hAnsi="Arial" w:cs="Arial"/>
                <w:b/>
                <w:bCs/>
                <w:color w:val="FFFFFF"/>
                <w:sz w:val="18"/>
                <w:szCs w:val="18"/>
                <w:lang w:eastAsia="cs-CZ"/>
              </w:rPr>
            </w:pPr>
            <w:r w:rsidRPr="00F926EB">
              <w:rPr>
                <w:rFonts w:ascii="Arial" w:eastAsia="Times New Roman" w:hAnsi="Arial" w:cs="Arial"/>
                <w:b/>
                <w:bCs/>
                <w:color w:val="FFFFFF"/>
                <w:sz w:val="18"/>
                <w:szCs w:val="18"/>
                <w:lang w:eastAsia="cs-CZ"/>
              </w:rPr>
              <w:t>Komentář</w:t>
            </w:r>
          </w:p>
        </w:tc>
      </w:tr>
      <w:tr w:rsidR="00F926EB" w:rsidRPr="00F926EB" w:rsidTr="00F926EB">
        <w:trPr>
          <w:trHeight w:val="495"/>
          <w:jc w:val="center"/>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Primární kapitál Tier 1</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120 430</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122 075</w:t>
            </w:r>
          </w:p>
        </w:tc>
        <w:tc>
          <w:tcPr>
            <w:tcW w:w="2800"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Veškerý kapitál klasifikován jako primární Tier 1</w:t>
            </w:r>
          </w:p>
        </w:tc>
      </w:tr>
      <w:tr w:rsidR="00F926EB" w:rsidRPr="00F926EB" w:rsidTr="00F926EB">
        <w:trPr>
          <w:trHeight w:val="315"/>
          <w:jc w:val="center"/>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Primární kapitál  Tier 2</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2800"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 </w:t>
            </w:r>
          </w:p>
        </w:tc>
      </w:tr>
      <w:tr w:rsidR="00F926EB" w:rsidRPr="00F926EB" w:rsidTr="00F926EB">
        <w:trPr>
          <w:trHeight w:val="315"/>
          <w:jc w:val="center"/>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Doplňkový kapitál Tier 2</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2800"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 </w:t>
            </w:r>
          </w:p>
        </w:tc>
      </w:tr>
      <w:tr w:rsidR="00F926EB" w:rsidRPr="00F926EB" w:rsidTr="00F926EB">
        <w:trPr>
          <w:trHeight w:val="315"/>
          <w:jc w:val="center"/>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Primární kapitál  Tier 3</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2800"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 </w:t>
            </w:r>
          </w:p>
        </w:tc>
      </w:tr>
      <w:tr w:rsidR="00F926EB" w:rsidRPr="00F926EB" w:rsidTr="00F926EB">
        <w:trPr>
          <w:trHeight w:val="315"/>
          <w:jc w:val="center"/>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Doplňkový kapitál Tier 3</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891"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jc w:val="right"/>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0</w:t>
            </w:r>
          </w:p>
        </w:tc>
        <w:tc>
          <w:tcPr>
            <w:tcW w:w="2800" w:type="dxa"/>
            <w:tcBorders>
              <w:top w:val="nil"/>
              <w:left w:val="nil"/>
              <w:bottom w:val="single" w:sz="8" w:space="0" w:color="auto"/>
              <w:right w:val="single" w:sz="8" w:space="0" w:color="auto"/>
            </w:tcBorders>
            <w:shd w:val="clear" w:color="auto" w:fill="auto"/>
            <w:vAlign w:val="center"/>
            <w:hideMark/>
          </w:tcPr>
          <w:p w:rsidR="00F926EB" w:rsidRPr="00F926EB" w:rsidRDefault="00F926EB" w:rsidP="00F926EB">
            <w:pPr>
              <w:spacing w:after="0" w:line="240" w:lineRule="auto"/>
              <w:rPr>
                <w:rFonts w:ascii="Arial" w:eastAsia="Times New Roman" w:hAnsi="Arial" w:cs="Arial"/>
                <w:color w:val="000000"/>
                <w:sz w:val="18"/>
                <w:szCs w:val="18"/>
                <w:lang w:eastAsia="cs-CZ"/>
              </w:rPr>
            </w:pPr>
            <w:r w:rsidRPr="00F926EB">
              <w:rPr>
                <w:rFonts w:ascii="Arial" w:eastAsia="Times New Roman" w:hAnsi="Arial" w:cs="Arial"/>
                <w:color w:val="000000"/>
                <w:sz w:val="18"/>
                <w:szCs w:val="18"/>
                <w:lang w:eastAsia="cs-CZ"/>
              </w:rPr>
              <w:t> </w:t>
            </w:r>
          </w:p>
        </w:tc>
      </w:tr>
      <w:tr w:rsidR="00F926EB" w:rsidRPr="00F926EB" w:rsidTr="00F926EB">
        <w:trPr>
          <w:trHeight w:val="315"/>
          <w:jc w:val="center"/>
        </w:trPr>
        <w:tc>
          <w:tcPr>
            <w:tcW w:w="2080" w:type="dxa"/>
            <w:tcBorders>
              <w:top w:val="nil"/>
              <w:left w:val="single" w:sz="8" w:space="0" w:color="auto"/>
              <w:bottom w:val="single" w:sz="8" w:space="0" w:color="auto"/>
              <w:right w:val="single" w:sz="8" w:space="0" w:color="auto"/>
            </w:tcBorders>
            <w:shd w:val="clear" w:color="000000" w:fill="D9D9D9"/>
            <w:vAlign w:val="center"/>
            <w:hideMark/>
          </w:tcPr>
          <w:p w:rsidR="00F926EB" w:rsidRPr="00F926EB" w:rsidRDefault="00F926EB" w:rsidP="00F926EB">
            <w:pPr>
              <w:spacing w:after="0" w:line="240" w:lineRule="auto"/>
              <w:rPr>
                <w:rFonts w:ascii="Arial" w:eastAsia="Times New Roman" w:hAnsi="Arial" w:cs="Arial"/>
                <w:b/>
                <w:bCs/>
                <w:color w:val="000000"/>
                <w:sz w:val="18"/>
                <w:szCs w:val="18"/>
                <w:lang w:eastAsia="cs-CZ"/>
              </w:rPr>
            </w:pPr>
            <w:r w:rsidRPr="00F926EB">
              <w:rPr>
                <w:rFonts w:ascii="Arial" w:eastAsia="Times New Roman" w:hAnsi="Arial" w:cs="Arial"/>
                <w:b/>
                <w:bCs/>
                <w:color w:val="000000"/>
                <w:sz w:val="18"/>
                <w:szCs w:val="18"/>
                <w:lang w:eastAsia="cs-CZ"/>
              </w:rPr>
              <w:t xml:space="preserve">Celkem </w:t>
            </w:r>
          </w:p>
        </w:tc>
        <w:tc>
          <w:tcPr>
            <w:tcW w:w="891" w:type="dxa"/>
            <w:tcBorders>
              <w:top w:val="nil"/>
              <w:left w:val="nil"/>
              <w:bottom w:val="single" w:sz="8" w:space="0" w:color="auto"/>
              <w:right w:val="single" w:sz="8" w:space="0" w:color="auto"/>
            </w:tcBorders>
            <w:shd w:val="clear" w:color="000000" w:fill="D9D9D9"/>
            <w:vAlign w:val="center"/>
            <w:hideMark/>
          </w:tcPr>
          <w:p w:rsidR="00F926EB" w:rsidRPr="00F926EB" w:rsidRDefault="00F926EB" w:rsidP="00F926EB">
            <w:pPr>
              <w:spacing w:after="0" w:line="240" w:lineRule="auto"/>
              <w:jc w:val="right"/>
              <w:rPr>
                <w:rFonts w:ascii="Arial" w:eastAsia="Times New Roman" w:hAnsi="Arial" w:cs="Arial"/>
                <w:b/>
                <w:bCs/>
                <w:color w:val="000000"/>
                <w:sz w:val="18"/>
                <w:szCs w:val="18"/>
                <w:lang w:eastAsia="cs-CZ"/>
              </w:rPr>
            </w:pPr>
            <w:r w:rsidRPr="00F926EB">
              <w:rPr>
                <w:rFonts w:ascii="Arial" w:eastAsia="Times New Roman" w:hAnsi="Arial" w:cs="Arial"/>
                <w:b/>
                <w:bCs/>
                <w:color w:val="000000"/>
                <w:sz w:val="18"/>
                <w:szCs w:val="18"/>
                <w:lang w:eastAsia="cs-CZ"/>
              </w:rPr>
              <w:t>120 430</w:t>
            </w:r>
          </w:p>
        </w:tc>
        <w:tc>
          <w:tcPr>
            <w:tcW w:w="891" w:type="dxa"/>
            <w:tcBorders>
              <w:top w:val="nil"/>
              <w:left w:val="nil"/>
              <w:bottom w:val="single" w:sz="8" w:space="0" w:color="auto"/>
              <w:right w:val="single" w:sz="8" w:space="0" w:color="auto"/>
            </w:tcBorders>
            <w:shd w:val="clear" w:color="000000" w:fill="D9D9D9"/>
            <w:vAlign w:val="center"/>
            <w:hideMark/>
          </w:tcPr>
          <w:p w:rsidR="00F926EB" w:rsidRPr="00F926EB" w:rsidRDefault="00F926EB" w:rsidP="00F926EB">
            <w:pPr>
              <w:spacing w:after="0" w:line="240" w:lineRule="auto"/>
              <w:jc w:val="right"/>
              <w:rPr>
                <w:rFonts w:ascii="Arial" w:eastAsia="Times New Roman" w:hAnsi="Arial" w:cs="Arial"/>
                <w:b/>
                <w:bCs/>
                <w:color w:val="000000"/>
                <w:sz w:val="18"/>
                <w:szCs w:val="18"/>
                <w:lang w:eastAsia="cs-CZ"/>
              </w:rPr>
            </w:pPr>
            <w:r w:rsidRPr="00F926EB">
              <w:rPr>
                <w:rFonts w:ascii="Arial" w:eastAsia="Times New Roman" w:hAnsi="Arial" w:cs="Arial"/>
                <w:b/>
                <w:bCs/>
                <w:color w:val="000000"/>
                <w:sz w:val="18"/>
                <w:szCs w:val="18"/>
                <w:lang w:eastAsia="cs-CZ"/>
              </w:rPr>
              <w:t>122 075</w:t>
            </w:r>
          </w:p>
        </w:tc>
        <w:tc>
          <w:tcPr>
            <w:tcW w:w="2800" w:type="dxa"/>
            <w:tcBorders>
              <w:top w:val="nil"/>
              <w:left w:val="nil"/>
              <w:bottom w:val="single" w:sz="8" w:space="0" w:color="auto"/>
              <w:right w:val="single" w:sz="8" w:space="0" w:color="auto"/>
            </w:tcBorders>
            <w:shd w:val="clear" w:color="000000" w:fill="D9D9D9"/>
            <w:vAlign w:val="center"/>
            <w:hideMark/>
          </w:tcPr>
          <w:p w:rsidR="00F926EB" w:rsidRPr="00F926EB" w:rsidRDefault="00F926EB" w:rsidP="00F926EB">
            <w:pPr>
              <w:spacing w:after="0" w:line="240" w:lineRule="auto"/>
              <w:rPr>
                <w:rFonts w:ascii="Arial" w:eastAsia="Times New Roman" w:hAnsi="Arial" w:cs="Arial"/>
                <w:b/>
                <w:bCs/>
                <w:color w:val="000000"/>
                <w:sz w:val="18"/>
                <w:szCs w:val="18"/>
                <w:lang w:eastAsia="cs-CZ"/>
              </w:rPr>
            </w:pPr>
            <w:r>
              <w:rPr>
                <w:rFonts w:ascii="Arial" w:eastAsia="Times New Roman" w:hAnsi="Arial" w:cs="Arial"/>
                <w:b/>
                <w:bCs/>
                <w:color w:val="000000"/>
                <w:sz w:val="18"/>
                <w:szCs w:val="18"/>
                <w:lang w:eastAsia="cs-CZ"/>
              </w:rPr>
              <w:t>Meziroční změna není významná</w:t>
            </w:r>
          </w:p>
        </w:tc>
      </w:tr>
    </w:tbl>
    <w:p w:rsidR="00F926EB" w:rsidRDefault="00F926EB" w:rsidP="003E51FC">
      <w:pPr>
        <w:rPr>
          <w:rFonts w:ascii="Times New Roman" w:hAnsi="Times New Roman" w:cs="Times New Roman"/>
          <w:sz w:val="24"/>
          <w:szCs w:val="24"/>
        </w:rPr>
      </w:pPr>
    </w:p>
    <w:p w:rsidR="00F926EB" w:rsidRDefault="00F926EB" w:rsidP="00310C00">
      <w:pPr>
        <w:jc w:val="both"/>
        <w:rPr>
          <w:rFonts w:ascii="Times New Roman" w:hAnsi="Times New Roman" w:cs="Times New Roman"/>
          <w:sz w:val="24"/>
          <w:szCs w:val="24"/>
        </w:rPr>
      </w:pPr>
      <w:r>
        <w:rPr>
          <w:rFonts w:ascii="Times New Roman" w:hAnsi="Times New Roman" w:cs="Times New Roman"/>
          <w:sz w:val="24"/>
          <w:szCs w:val="24"/>
        </w:rPr>
        <w:t>V roce 2016 došlo k navýšení základního kapitálu z vlastních zdrojů Pojišťovny na zákonem stanovené minimum 105 000</w:t>
      </w:r>
      <w:r w:rsidR="00735CB1">
        <w:rPr>
          <w:rFonts w:ascii="Times New Roman" w:hAnsi="Times New Roman" w:cs="Times New Roman"/>
          <w:sz w:val="24"/>
          <w:szCs w:val="24"/>
        </w:rPr>
        <w:t> </w:t>
      </w:r>
      <w:r>
        <w:rPr>
          <w:rFonts w:ascii="Times New Roman" w:hAnsi="Times New Roman" w:cs="Times New Roman"/>
          <w:sz w:val="24"/>
          <w:szCs w:val="24"/>
        </w:rPr>
        <w:t>000.</w:t>
      </w:r>
    </w:p>
    <w:tbl>
      <w:tblPr>
        <w:tblW w:w="7780" w:type="dxa"/>
        <w:jc w:val="center"/>
        <w:tblInd w:w="55" w:type="dxa"/>
        <w:tblCellMar>
          <w:left w:w="70" w:type="dxa"/>
          <w:right w:w="70" w:type="dxa"/>
        </w:tblCellMar>
        <w:tblLook w:val="04A0" w:firstRow="1" w:lastRow="0" w:firstColumn="1" w:lastColumn="0" w:noHBand="0" w:noVBand="1"/>
      </w:tblPr>
      <w:tblGrid>
        <w:gridCol w:w="2380"/>
        <w:gridCol w:w="1000"/>
        <w:gridCol w:w="1000"/>
        <w:gridCol w:w="3400"/>
      </w:tblGrid>
      <w:tr w:rsidR="00735CB1" w:rsidRPr="00735CB1" w:rsidTr="00F47C82">
        <w:trPr>
          <w:trHeight w:val="315"/>
          <w:jc w:val="center"/>
        </w:trPr>
        <w:tc>
          <w:tcPr>
            <w:tcW w:w="238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735CB1" w:rsidRPr="00735CB1" w:rsidRDefault="00735CB1" w:rsidP="00735CB1">
            <w:pPr>
              <w:spacing w:after="0" w:line="240" w:lineRule="auto"/>
              <w:jc w:val="center"/>
              <w:rPr>
                <w:rFonts w:ascii="Arial" w:eastAsia="Times New Roman" w:hAnsi="Arial" w:cs="Arial"/>
                <w:b/>
                <w:bCs/>
                <w:color w:val="FFFFFF"/>
                <w:sz w:val="18"/>
                <w:szCs w:val="18"/>
                <w:lang w:eastAsia="cs-CZ"/>
              </w:rPr>
            </w:pPr>
            <w:r w:rsidRPr="00735CB1">
              <w:rPr>
                <w:rFonts w:ascii="Arial" w:eastAsia="Times New Roman" w:hAnsi="Arial" w:cs="Arial"/>
                <w:b/>
                <w:bCs/>
                <w:color w:val="FFFFFF"/>
                <w:sz w:val="18"/>
                <w:szCs w:val="18"/>
                <w:lang w:eastAsia="cs-CZ"/>
              </w:rPr>
              <w:t>Primární Tier 1 kapitál</w:t>
            </w:r>
          </w:p>
        </w:tc>
        <w:tc>
          <w:tcPr>
            <w:tcW w:w="1000" w:type="dxa"/>
            <w:tcBorders>
              <w:top w:val="single" w:sz="8" w:space="0" w:color="auto"/>
              <w:left w:val="nil"/>
              <w:bottom w:val="single" w:sz="8" w:space="0" w:color="auto"/>
              <w:right w:val="single" w:sz="8" w:space="0" w:color="auto"/>
            </w:tcBorders>
            <w:shd w:val="clear" w:color="000000" w:fill="92D050"/>
            <w:vAlign w:val="center"/>
            <w:hideMark/>
          </w:tcPr>
          <w:p w:rsidR="00735CB1" w:rsidRPr="00735CB1" w:rsidRDefault="00735CB1" w:rsidP="00735CB1">
            <w:pPr>
              <w:spacing w:after="0" w:line="240" w:lineRule="auto"/>
              <w:jc w:val="center"/>
              <w:rPr>
                <w:rFonts w:ascii="Arial" w:eastAsia="Times New Roman" w:hAnsi="Arial" w:cs="Arial"/>
                <w:b/>
                <w:bCs/>
                <w:color w:val="FFFFFF"/>
                <w:sz w:val="18"/>
                <w:szCs w:val="18"/>
                <w:lang w:eastAsia="cs-CZ"/>
              </w:rPr>
            </w:pPr>
            <w:r w:rsidRPr="00735CB1">
              <w:rPr>
                <w:rFonts w:ascii="Arial" w:eastAsia="Times New Roman" w:hAnsi="Arial" w:cs="Arial"/>
                <w:b/>
                <w:bCs/>
                <w:color w:val="FFFFFF"/>
                <w:sz w:val="18"/>
                <w:szCs w:val="18"/>
                <w:lang w:eastAsia="cs-CZ"/>
              </w:rPr>
              <w:t>2016</w:t>
            </w:r>
          </w:p>
        </w:tc>
        <w:tc>
          <w:tcPr>
            <w:tcW w:w="1000" w:type="dxa"/>
            <w:tcBorders>
              <w:top w:val="single" w:sz="8" w:space="0" w:color="auto"/>
              <w:left w:val="nil"/>
              <w:bottom w:val="single" w:sz="8" w:space="0" w:color="auto"/>
              <w:right w:val="single" w:sz="8" w:space="0" w:color="auto"/>
            </w:tcBorders>
            <w:shd w:val="clear" w:color="000000" w:fill="92D050"/>
            <w:vAlign w:val="center"/>
            <w:hideMark/>
          </w:tcPr>
          <w:p w:rsidR="00735CB1" w:rsidRPr="00735CB1" w:rsidRDefault="00735CB1" w:rsidP="00735CB1">
            <w:pPr>
              <w:spacing w:after="0" w:line="240" w:lineRule="auto"/>
              <w:jc w:val="center"/>
              <w:rPr>
                <w:rFonts w:ascii="Arial" w:eastAsia="Times New Roman" w:hAnsi="Arial" w:cs="Arial"/>
                <w:b/>
                <w:bCs/>
                <w:color w:val="FFFFFF"/>
                <w:sz w:val="18"/>
                <w:szCs w:val="18"/>
                <w:lang w:eastAsia="cs-CZ"/>
              </w:rPr>
            </w:pPr>
            <w:r w:rsidRPr="00735CB1">
              <w:rPr>
                <w:rFonts w:ascii="Arial" w:eastAsia="Times New Roman" w:hAnsi="Arial" w:cs="Arial"/>
                <w:b/>
                <w:bCs/>
                <w:color w:val="FFFFFF"/>
                <w:sz w:val="18"/>
                <w:szCs w:val="18"/>
                <w:lang w:eastAsia="cs-CZ"/>
              </w:rPr>
              <w:t>2015</w:t>
            </w:r>
          </w:p>
        </w:tc>
        <w:tc>
          <w:tcPr>
            <w:tcW w:w="3400" w:type="dxa"/>
            <w:tcBorders>
              <w:top w:val="single" w:sz="8" w:space="0" w:color="auto"/>
              <w:left w:val="nil"/>
              <w:bottom w:val="single" w:sz="8" w:space="0" w:color="auto"/>
              <w:right w:val="single" w:sz="8" w:space="0" w:color="auto"/>
            </w:tcBorders>
            <w:shd w:val="clear" w:color="000000" w:fill="92D050"/>
            <w:vAlign w:val="center"/>
            <w:hideMark/>
          </w:tcPr>
          <w:p w:rsidR="00735CB1" w:rsidRPr="00735CB1" w:rsidRDefault="00735CB1" w:rsidP="00735CB1">
            <w:pPr>
              <w:spacing w:after="0" w:line="240" w:lineRule="auto"/>
              <w:jc w:val="center"/>
              <w:rPr>
                <w:rFonts w:ascii="Arial" w:eastAsia="Times New Roman" w:hAnsi="Arial" w:cs="Arial"/>
                <w:b/>
                <w:bCs/>
                <w:color w:val="FFFFFF"/>
                <w:sz w:val="18"/>
                <w:szCs w:val="18"/>
                <w:lang w:eastAsia="cs-CZ"/>
              </w:rPr>
            </w:pPr>
            <w:r w:rsidRPr="00735CB1">
              <w:rPr>
                <w:rFonts w:ascii="Arial" w:eastAsia="Times New Roman" w:hAnsi="Arial" w:cs="Arial"/>
                <w:b/>
                <w:bCs/>
                <w:color w:val="FFFFFF"/>
                <w:sz w:val="18"/>
                <w:szCs w:val="18"/>
                <w:lang w:eastAsia="cs-CZ"/>
              </w:rPr>
              <w:t>Komentář</w:t>
            </w:r>
          </w:p>
        </w:tc>
      </w:tr>
      <w:tr w:rsidR="00735CB1" w:rsidRPr="00735CB1" w:rsidTr="00F47C82">
        <w:trPr>
          <w:trHeight w:val="495"/>
          <w:jc w:val="center"/>
        </w:trPr>
        <w:tc>
          <w:tcPr>
            <w:tcW w:w="2380" w:type="dxa"/>
            <w:tcBorders>
              <w:top w:val="nil"/>
              <w:left w:val="single" w:sz="8" w:space="0" w:color="auto"/>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 xml:space="preserve">Kmenový akciový kapitál </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105 000</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90 000</w:t>
            </w:r>
          </w:p>
        </w:tc>
        <w:tc>
          <w:tcPr>
            <w:tcW w:w="34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Navýšení základního kapitálu z vlastních zdrojů</w:t>
            </w:r>
          </w:p>
        </w:tc>
      </w:tr>
      <w:tr w:rsidR="00735CB1" w:rsidRPr="00735CB1" w:rsidTr="00F47C82">
        <w:trPr>
          <w:trHeight w:val="315"/>
          <w:jc w:val="center"/>
        </w:trPr>
        <w:tc>
          <w:tcPr>
            <w:tcW w:w="2380" w:type="dxa"/>
            <w:tcBorders>
              <w:top w:val="nil"/>
              <w:left w:val="single" w:sz="8" w:space="0" w:color="auto"/>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Disponibilní bonusový fond</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5 510</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5 510</w:t>
            </w:r>
          </w:p>
        </w:tc>
        <w:tc>
          <w:tcPr>
            <w:tcW w:w="34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 </w:t>
            </w:r>
          </w:p>
        </w:tc>
      </w:tr>
      <w:tr w:rsidR="00735CB1" w:rsidRPr="00735CB1" w:rsidTr="00F47C82">
        <w:trPr>
          <w:trHeight w:val="495"/>
          <w:jc w:val="center"/>
        </w:trPr>
        <w:tc>
          <w:tcPr>
            <w:tcW w:w="2380" w:type="dxa"/>
            <w:tcBorders>
              <w:top w:val="nil"/>
              <w:left w:val="single" w:sz="8" w:space="0" w:color="auto"/>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 xml:space="preserve">Rekoncilační rezerva </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9 920</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26 565</w:t>
            </w:r>
          </w:p>
        </w:tc>
        <w:tc>
          <w:tcPr>
            <w:tcW w:w="34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Snížení zejména o zadržený zisk použitý k navýšení základního kapitálu</w:t>
            </w:r>
          </w:p>
        </w:tc>
      </w:tr>
      <w:tr w:rsidR="00735CB1" w:rsidRPr="00735CB1" w:rsidTr="00F47C82">
        <w:trPr>
          <w:trHeight w:val="315"/>
          <w:jc w:val="center"/>
        </w:trPr>
        <w:tc>
          <w:tcPr>
            <w:tcW w:w="2380" w:type="dxa"/>
            <w:tcBorders>
              <w:top w:val="nil"/>
              <w:left w:val="single" w:sz="8" w:space="0" w:color="auto"/>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Primární kapitál celkem</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120 430</w:t>
            </w:r>
          </w:p>
        </w:tc>
        <w:tc>
          <w:tcPr>
            <w:tcW w:w="10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jc w:val="right"/>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122 075</w:t>
            </w:r>
          </w:p>
        </w:tc>
        <w:tc>
          <w:tcPr>
            <w:tcW w:w="3400" w:type="dxa"/>
            <w:tcBorders>
              <w:top w:val="nil"/>
              <w:left w:val="nil"/>
              <w:bottom w:val="single" w:sz="8" w:space="0" w:color="auto"/>
              <w:right w:val="single" w:sz="8" w:space="0" w:color="auto"/>
            </w:tcBorders>
            <w:shd w:val="clear" w:color="auto" w:fill="auto"/>
            <w:vAlign w:val="center"/>
            <w:hideMark/>
          </w:tcPr>
          <w:p w:rsidR="00735CB1" w:rsidRPr="00735CB1" w:rsidRDefault="00735CB1" w:rsidP="00735CB1">
            <w:pPr>
              <w:spacing w:after="0" w:line="240" w:lineRule="auto"/>
              <w:rPr>
                <w:rFonts w:ascii="Arial" w:eastAsia="Times New Roman" w:hAnsi="Arial" w:cs="Arial"/>
                <w:color w:val="000000"/>
                <w:sz w:val="18"/>
                <w:szCs w:val="18"/>
                <w:lang w:eastAsia="cs-CZ"/>
              </w:rPr>
            </w:pPr>
            <w:r w:rsidRPr="00735CB1">
              <w:rPr>
                <w:rFonts w:ascii="Arial" w:eastAsia="Times New Roman" w:hAnsi="Arial" w:cs="Arial"/>
                <w:color w:val="000000"/>
                <w:sz w:val="18"/>
                <w:szCs w:val="18"/>
                <w:lang w:eastAsia="cs-CZ"/>
              </w:rPr>
              <w:t> </w:t>
            </w:r>
          </w:p>
        </w:tc>
      </w:tr>
    </w:tbl>
    <w:p w:rsidR="00735CB1" w:rsidRDefault="00735CB1" w:rsidP="00310C00">
      <w:pPr>
        <w:jc w:val="both"/>
        <w:rPr>
          <w:rFonts w:ascii="Times New Roman" w:hAnsi="Times New Roman" w:cs="Times New Roman"/>
          <w:sz w:val="24"/>
          <w:szCs w:val="24"/>
        </w:rPr>
      </w:pPr>
    </w:p>
    <w:p w:rsidR="00310C00" w:rsidRDefault="00310C00" w:rsidP="00310C00">
      <w:pPr>
        <w:jc w:val="both"/>
        <w:rPr>
          <w:rFonts w:ascii="Times New Roman" w:hAnsi="Times New Roman" w:cs="Times New Roman"/>
          <w:sz w:val="24"/>
          <w:szCs w:val="24"/>
        </w:rPr>
      </w:pPr>
      <w:r w:rsidRPr="00310C00">
        <w:rPr>
          <w:rFonts w:ascii="Times New Roman" w:hAnsi="Times New Roman" w:cs="Times New Roman"/>
          <w:sz w:val="24"/>
          <w:szCs w:val="24"/>
        </w:rPr>
        <w:t>Rozdíl mezi hodnotou aktiv a závazků dle Solventnosti II a vlastním kapitálem vyjádřeným v účetní závěrce je dán přeceněním aktiv a závazků dle pravidel Solventnosti II a s tím související odloženou daní.</w:t>
      </w:r>
    </w:p>
    <w:tbl>
      <w:tblPr>
        <w:tblW w:w="7554" w:type="dxa"/>
        <w:jc w:val="center"/>
        <w:tblInd w:w="55" w:type="dxa"/>
        <w:tblCellMar>
          <w:left w:w="70" w:type="dxa"/>
          <w:right w:w="70" w:type="dxa"/>
        </w:tblCellMar>
        <w:tblLook w:val="04A0" w:firstRow="1" w:lastRow="0" w:firstColumn="1" w:lastColumn="0" w:noHBand="0" w:noVBand="1"/>
      </w:tblPr>
      <w:tblGrid>
        <w:gridCol w:w="3261"/>
        <w:gridCol w:w="960"/>
        <w:gridCol w:w="3333"/>
      </w:tblGrid>
      <w:tr w:rsidR="00A52D94" w:rsidRPr="00A52D94" w:rsidTr="00A52D94">
        <w:trPr>
          <w:trHeight w:val="315"/>
          <w:jc w:val="center"/>
        </w:trPr>
        <w:tc>
          <w:tcPr>
            <w:tcW w:w="3261"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A52D94" w:rsidRPr="00A52D94" w:rsidRDefault="00A52D94" w:rsidP="00A52D94">
            <w:pPr>
              <w:spacing w:after="0" w:line="240" w:lineRule="auto"/>
              <w:jc w:val="center"/>
              <w:rPr>
                <w:rFonts w:ascii="Arial" w:eastAsia="Times New Roman" w:hAnsi="Arial" w:cs="Arial"/>
                <w:b/>
                <w:bCs/>
                <w:color w:val="FFFFFF"/>
                <w:sz w:val="18"/>
                <w:szCs w:val="18"/>
                <w:lang w:eastAsia="cs-CZ"/>
              </w:rPr>
            </w:pPr>
            <w:r w:rsidRPr="00A52D94">
              <w:rPr>
                <w:rFonts w:ascii="Arial" w:eastAsia="Times New Roman" w:hAnsi="Arial" w:cs="Arial"/>
                <w:b/>
                <w:bCs/>
                <w:color w:val="FFFFFF"/>
                <w:sz w:val="18"/>
                <w:szCs w:val="18"/>
                <w:lang w:eastAsia="cs-CZ"/>
              </w:rPr>
              <w:t>Vlastní kapitál</w:t>
            </w:r>
          </w:p>
        </w:tc>
        <w:tc>
          <w:tcPr>
            <w:tcW w:w="960" w:type="dxa"/>
            <w:tcBorders>
              <w:top w:val="single" w:sz="8" w:space="0" w:color="auto"/>
              <w:left w:val="nil"/>
              <w:bottom w:val="single" w:sz="8" w:space="0" w:color="auto"/>
              <w:right w:val="single" w:sz="8" w:space="0" w:color="auto"/>
            </w:tcBorders>
            <w:shd w:val="clear" w:color="000000" w:fill="92D050"/>
            <w:vAlign w:val="center"/>
            <w:hideMark/>
          </w:tcPr>
          <w:p w:rsidR="00A52D94" w:rsidRPr="00A52D94" w:rsidRDefault="00A52D94" w:rsidP="00A52D94">
            <w:pPr>
              <w:spacing w:after="0" w:line="240" w:lineRule="auto"/>
              <w:jc w:val="center"/>
              <w:rPr>
                <w:rFonts w:ascii="Arial" w:eastAsia="Times New Roman" w:hAnsi="Arial" w:cs="Arial"/>
                <w:b/>
                <w:bCs/>
                <w:color w:val="FFFFFF"/>
                <w:sz w:val="18"/>
                <w:szCs w:val="18"/>
                <w:lang w:eastAsia="cs-CZ"/>
              </w:rPr>
            </w:pPr>
            <w:r w:rsidRPr="00A52D94">
              <w:rPr>
                <w:rFonts w:ascii="Arial" w:eastAsia="Times New Roman" w:hAnsi="Arial" w:cs="Arial"/>
                <w:b/>
                <w:bCs/>
                <w:color w:val="FFFFFF"/>
                <w:sz w:val="18"/>
                <w:szCs w:val="18"/>
                <w:lang w:eastAsia="cs-CZ"/>
              </w:rPr>
              <w:t>2016</w:t>
            </w:r>
          </w:p>
        </w:tc>
        <w:tc>
          <w:tcPr>
            <w:tcW w:w="3333" w:type="dxa"/>
            <w:tcBorders>
              <w:top w:val="single" w:sz="8" w:space="0" w:color="auto"/>
              <w:left w:val="nil"/>
              <w:bottom w:val="single" w:sz="8" w:space="0" w:color="auto"/>
              <w:right w:val="single" w:sz="8" w:space="0" w:color="auto"/>
            </w:tcBorders>
            <w:shd w:val="clear" w:color="000000" w:fill="92D050"/>
            <w:vAlign w:val="center"/>
            <w:hideMark/>
          </w:tcPr>
          <w:p w:rsidR="00A52D94" w:rsidRPr="00A52D94" w:rsidRDefault="00A52D94" w:rsidP="00A52D94">
            <w:pPr>
              <w:spacing w:after="0" w:line="240" w:lineRule="auto"/>
              <w:jc w:val="center"/>
              <w:rPr>
                <w:rFonts w:ascii="Arial" w:eastAsia="Times New Roman" w:hAnsi="Arial" w:cs="Arial"/>
                <w:b/>
                <w:bCs/>
                <w:color w:val="FFFFFF"/>
                <w:sz w:val="18"/>
                <w:szCs w:val="18"/>
                <w:lang w:eastAsia="cs-CZ"/>
              </w:rPr>
            </w:pPr>
            <w:r w:rsidRPr="00A52D94">
              <w:rPr>
                <w:rFonts w:ascii="Arial" w:eastAsia="Times New Roman" w:hAnsi="Arial" w:cs="Arial"/>
                <w:b/>
                <w:bCs/>
                <w:color w:val="FFFFFF"/>
                <w:sz w:val="18"/>
                <w:szCs w:val="18"/>
                <w:lang w:eastAsia="cs-CZ"/>
              </w:rPr>
              <w:t>Komentář</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Vlastní kapitál v účetní závěrce</w:t>
            </w:r>
          </w:p>
        </w:tc>
        <w:tc>
          <w:tcPr>
            <w:tcW w:w="960"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122 359</w:t>
            </w:r>
          </w:p>
        </w:tc>
        <w:tc>
          <w:tcPr>
            <w:tcW w:w="3333"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 </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Přecenění technických rezerv</w:t>
            </w:r>
          </w:p>
        </w:tc>
        <w:tc>
          <w:tcPr>
            <w:tcW w:w="960"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-420</w:t>
            </w:r>
          </w:p>
        </w:tc>
        <w:tc>
          <w:tcPr>
            <w:tcW w:w="3333"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Zejména rezervy na pojistná plnění</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Přecenění jiných pasiv</w:t>
            </w:r>
          </w:p>
        </w:tc>
        <w:tc>
          <w:tcPr>
            <w:tcW w:w="960"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0</w:t>
            </w:r>
          </w:p>
        </w:tc>
        <w:tc>
          <w:tcPr>
            <w:tcW w:w="3333"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 </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Přecenění nehmotných aktiv</w:t>
            </w:r>
          </w:p>
        </w:tc>
        <w:tc>
          <w:tcPr>
            <w:tcW w:w="960"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-1 849</w:t>
            </w:r>
          </w:p>
        </w:tc>
        <w:tc>
          <w:tcPr>
            <w:tcW w:w="3333"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Software</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Přecenění cenných papírů</w:t>
            </w:r>
          </w:p>
        </w:tc>
        <w:tc>
          <w:tcPr>
            <w:tcW w:w="960"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0</w:t>
            </w:r>
          </w:p>
        </w:tc>
        <w:tc>
          <w:tcPr>
            <w:tcW w:w="3333"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 </w:t>
            </w:r>
          </w:p>
        </w:tc>
      </w:tr>
      <w:tr w:rsidR="00A52D94" w:rsidRPr="00A52D94" w:rsidTr="00A52D94">
        <w:trPr>
          <w:trHeight w:val="278"/>
          <w:jc w:val="center"/>
        </w:trPr>
        <w:tc>
          <w:tcPr>
            <w:tcW w:w="3261" w:type="dxa"/>
            <w:tcBorders>
              <w:top w:val="nil"/>
              <w:left w:val="single" w:sz="8" w:space="0" w:color="auto"/>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Přecenění ostatních aktiv</w:t>
            </w:r>
          </w:p>
        </w:tc>
        <w:tc>
          <w:tcPr>
            <w:tcW w:w="960"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jc w:val="right"/>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340</w:t>
            </w:r>
          </w:p>
        </w:tc>
        <w:tc>
          <w:tcPr>
            <w:tcW w:w="3333" w:type="dxa"/>
            <w:tcBorders>
              <w:top w:val="nil"/>
              <w:left w:val="nil"/>
              <w:bottom w:val="single" w:sz="8" w:space="0" w:color="auto"/>
              <w:right w:val="single" w:sz="8" w:space="0" w:color="auto"/>
            </w:tcBorders>
            <w:shd w:val="clear" w:color="auto" w:fill="auto"/>
            <w:vAlign w:val="center"/>
            <w:hideMark/>
          </w:tcPr>
          <w:p w:rsidR="00A52D94" w:rsidRPr="00A52D94" w:rsidRDefault="00A52D94" w:rsidP="00A52D94">
            <w:pPr>
              <w:spacing w:after="0" w:line="240" w:lineRule="auto"/>
              <w:rPr>
                <w:rFonts w:ascii="Arial" w:eastAsia="Times New Roman" w:hAnsi="Arial" w:cs="Arial"/>
                <w:color w:val="000000"/>
                <w:sz w:val="18"/>
                <w:szCs w:val="18"/>
                <w:lang w:eastAsia="cs-CZ"/>
              </w:rPr>
            </w:pPr>
            <w:r w:rsidRPr="00A52D94">
              <w:rPr>
                <w:rFonts w:ascii="Arial" w:eastAsia="Times New Roman" w:hAnsi="Arial" w:cs="Arial"/>
                <w:color w:val="000000"/>
                <w:sz w:val="18"/>
                <w:szCs w:val="18"/>
                <w:lang w:eastAsia="cs-CZ"/>
              </w:rPr>
              <w:t>Zejména odložená daňová pohledávka</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Celkem úpravy</w:t>
            </w:r>
          </w:p>
        </w:tc>
        <w:tc>
          <w:tcPr>
            <w:tcW w:w="960"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jc w:val="right"/>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-1 929</w:t>
            </w:r>
          </w:p>
        </w:tc>
        <w:tc>
          <w:tcPr>
            <w:tcW w:w="3333"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 </w:t>
            </w:r>
          </w:p>
        </w:tc>
      </w:tr>
      <w:tr w:rsidR="00A52D94" w:rsidRPr="00A52D94" w:rsidTr="00A52D94">
        <w:trPr>
          <w:trHeight w:val="315"/>
          <w:jc w:val="center"/>
        </w:trPr>
        <w:tc>
          <w:tcPr>
            <w:tcW w:w="3261" w:type="dxa"/>
            <w:tcBorders>
              <w:top w:val="nil"/>
              <w:left w:val="single" w:sz="8" w:space="0" w:color="auto"/>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Vlastní kapitál podle Solventnosti II</w:t>
            </w:r>
          </w:p>
        </w:tc>
        <w:tc>
          <w:tcPr>
            <w:tcW w:w="960"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jc w:val="right"/>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120 430</w:t>
            </w:r>
          </w:p>
        </w:tc>
        <w:tc>
          <w:tcPr>
            <w:tcW w:w="3333" w:type="dxa"/>
            <w:tcBorders>
              <w:top w:val="nil"/>
              <w:left w:val="nil"/>
              <w:bottom w:val="single" w:sz="8" w:space="0" w:color="auto"/>
              <w:right w:val="single" w:sz="8" w:space="0" w:color="auto"/>
            </w:tcBorders>
            <w:shd w:val="clear" w:color="000000" w:fill="D9D9D9"/>
            <w:vAlign w:val="center"/>
            <w:hideMark/>
          </w:tcPr>
          <w:p w:rsidR="00A52D94" w:rsidRPr="00A52D94" w:rsidRDefault="00A52D94" w:rsidP="00A52D94">
            <w:pPr>
              <w:spacing w:after="0" w:line="240" w:lineRule="auto"/>
              <w:rPr>
                <w:rFonts w:ascii="Arial" w:eastAsia="Times New Roman" w:hAnsi="Arial" w:cs="Arial"/>
                <w:b/>
                <w:bCs/>
                <w:color w:val="000000"/>
                <w:sz w:val="18"/>
                <w:szCs w:val="18"/>
                <w:lang w:eastAsia="cs-CZ"/>
              </w:rPr>
            </w:pPr>
            <w:r w:rsidRPr="00A52D94">
              <w:rPr>
                <w:rFonts w:ascii="Arial" w:eastAsia="Times New Roman" w:hAnsi="Arial" w:cs="Arial"/>
                <w:b/>
                <w:bCs/>
                <w:color w:val="000000"/>
                <w:sz w:val="18"/>
                <w:szCs w:val="18"/>
                <w:lang w:eastAsia="cs-CZ"/>
              </w:rPr>
              <w:t> </w:t>
            </w:r>
          </w:p>
        </w:tc>
      </w:tr>
    </w:tbl>
    <w:p w:rsidR="00A52D94" w:rsidRDefault="00A52D94" w:rsidP="00310C00">
      <w:pPr>
        <w:jc w:val="both"/>
        <w:rPr>
          <w:rFonts w:ascii="Times New Roman" w:hAnsi="Times New Roman" w:cs="Times New Roman"/>
          <w:sz w:val="24"/>
          <w:szCs w:val="24"/>
        </w:rPr>
      </w:pPr>
    </w:p>
    <w:p w:rsidR="00310C00" w:rsidRPr="00310C00" w:rsidRDefault="00310C00" w:rsidP="00310C00">
      <w:pPr>
        <w:jc w:val="both"/>
        <w:rPr>
          <w:rFonts w:ascii="Times New Roman" w:hAnsi="Times New Roman" w:cs="Times New Roman"/>
          <w:sz w:val="24"/>
          <w:szCs w:val="24"/>
        </w:rPr>
      </w:pPr>
      <w:r w:rsidRPr="00310C00">
        <w:rPr>
          <w:rFonts w:ascii="Times New Roman" w:hAnsi="Times New Roman" w:cs="Times New Roman"/>
          <w:sz w:val="24"/>
          <w:szCs w:val="24"/>
        </w:rPr>
        <w:t>Kapitál Společnosti je tvořen splaceným kmenovým akciovým kapitálem, disponibilním bonusovým fondem a přeceňovacím rezervním fondem a jako takový nepodléhá žádným zvláštním podmínkám či omezením.</w:t>
      </w:r>
    </w:p>
    <w:p w:rsidR="005041EF" w:rsidRPr="005041EF" w:rsidRDefault="005041EF" w:rsidP="005041EF">
      <w:pPr>
        <w:rPr>
          <w:rFonts w:ascii="Times New Roman" w:hAnsi="Times New Roman" w:cs="Times New Roman"/>
          <w:b/>
          <w:sz w:val="28"/>
          <w:szCs w:val="28"/>
        </w:rPr>
      </w:pPr>
      <w:r w:rsidRPr="005041EF">
        <w:rPr>
          <w:rFonts w:ascii="Times New Roman" w:hAnsi="Times New Roman" w:cs="Times New Roman"/>
          <w:b/>
          <w:sz w:val="28"/>
          <w:szCs w:val="28"/>
        </w:rPr>
        <w:t>5.2</w:t>
      </w:r>
      <w:r w:rsidRPr="005041EF">
        <w:rPr>
          <w:rFonts w:ascii="Times New Roman" w:hAnsi="Times New Roman" w:cs="Times New Roman"/>
          <w:b/>
          <w:sz w:val="28"/>
          <w:szCs w:val="28"/>
        </w:rPr>
        <w:tab/>
        <w:t>Solventnostní kapitálový požadavek a minimální kapitálový požadavek</w:t>
      </w:r>
    </w:p>
    <w:p w:rsidR="005041EF" w:rsidRDefault="005041EF" w:rsidP="005041EF">
      <w:pPr>
        <w:rPr>
          <w:rFonts w:ascii="Times New Roman" w:hAnsi="Times New Roman" w:cs="Times New Roman"/>
          <w:sz w:val="24"/>
          <w:szCs w:val="24"/>
        </w:rPr>
      </w:pPr>
      <w:r w:rsidRPr="005041EF">
        <w:rPr>
          <w:rFonts w:ascii="Times New Roman" w:hAnsi="Times New Roman" w:cs="Times New Roman"/>
          <w:sz w:val="24"/>
          <w:szCs w:val="24"/>
        </w:rPr>
        <w:t>Výše solventnostního kapitálového požadavku a minimálního kapitálového požadavku Pojišťovny k 3</w:t>
      </w:r>
      <w:r w:rsidR="00310C00">
        <w:rPr>
          <w:rFonts w:ascii="Times New Roman" w:hAnsi="Times New Roman" w:cs="Times New Roman"/>
          <w:sz w:val="24"/>
          <w:szCs w:val="24"/>
        </w:rPr>
        <w:t>1. prosinci 2016 je následující.</w:t>
      </w:r>
    </w:p>
    <w:tbl>
      <w:tblPr>
        <w:tblW w:w="8713" w:type="dxa"/>
        <w:jc w:val="center"/>
        <w:tblInd w:w="55" w:type="dxa"/>
        <w:tblCellMar>
          <w:left w:w="70" w:type="dxa"/>
          <w:right w:w="70" w:type="dxa"/>
        </w:tblCellMar>
        <w:tblLook w:val="04A0" w:firstRow="1" w:lastRow="0" w:firstColumn="1" w:lastColumn="0" w:noHBand="0" w:noVBand="1"/>
      </w:tblPr>
      <w:tblGrid>
        <w:gridCol w:w="871"/>
        <w:gridCol w:w="791"/>
        <w:gridCol w:w="777"/>
        <w:gridCol w:w="6274"/>
      </w:tblGrid>
      <w:tr w:rsidR="00F1157B" w:rsidRPr="00F1157B" w:rsidTr="00F1157B">
        <w:trPr>
          <w:trHeight w:val="315"/>
          <w:jc w:val="center"/>
        </w:trPr>
        <w:tc>
          <w:tcPr>
            <w:tcW w:w="871"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F1157B" w:rsidRPr="00F1157B" w:rsidRDefault="00F1157B" w:rsidP="00F1157B">
            <w:pPr>
              <w:spacing w:after="0" w:line="240" w:lineRule="auto"/>
              <w:jc w:val="center"/>
              <w:rPr>
                <w:rFonts w:ascii="Arial" w:eastAsia="Times New Roman" w:hAnsi="Arial" w:cs="Arial"/>
                <w:b/>
                <w:bCs/>
                <w:color w:val="FFFFFF"/>
                <w:sz w:val="18"/>
                <w:szCs w:val="18"/>
                <w:lang w:eastAsia="cs-CZ"/>
              </w:rPr>
            </w:pPr>
            <w:r w:rsidRPr="00F1157B">
              <w:rPr>
                <w:rFonts w:ascii="Arial" w:eastAsia="Times New Roman" w:hAnsi="Arial" w:cs="Arial"/>
                <w:b/>
                <w:bCs/>
                <w:color w:val="FFFFFF"/>
                <w:sz w:val="18"/>
                <w:szCs w:val="18"/>
                <w:lang w:eastAsia="cs-CZ"/>
              </w:rPr>
              <w:t>Ukazatel</w:t>
            </w:r>
          </w:p>
        </w:tc>
        <w:tc>
          <w:tcPr>
            <w:tcW w:w="791" w:type="dxa"/>
            <w:tcBorders>
              <w:top w:val="single" w:sz="8" w:space="0" w:color="auto"/>
              <w:left w:val="nil"/>
              <w:bottom w:val="single" w:sz="8" w:space="0" w:color="auto"/>
              <w:right w:val="single" w:sz="8" w:space="0" w:color="auto"/>
            </w:tcBorders>
            <w:shd w:val="clear" w:color="000000" w:fill="92D050"/>
            <w:vAlign w:val="center"/>
            <w:hideMark/>
          </w:tcPr>
          <w:p w:rsidR="00F1157B" w:rsidRPr="00F1157B" w:rsidRDefault="00F1157B" w:rsidP="00F1157B">
            <w:pPr>
              <w:spacing w:after="0" w:line="240" w:lineRule="auto"/>
              <w:jc w:val="center"/>
              <w:rPr>
                <w:rFonts w:ascii="Arial" w:eastAsia="Times New Roman" w:hAnsi="Arial" w:cs="Arial"/>
                <w:b/>
                <w:bCs/>
                <w:color w:val="FFFFFF"/>
                <w:sz w:val="18"/>
                <w:szCs w:val="18"/>
                <w:lang w:eastAsia="cs-CZ"/>
              </w:rPr>
            </w:pPr>
            <w:r w:rsidRPr="00F1157B">
              <w:rPr>
                <w:rFonts w:ascii="Arial" w:eastAsia="Times New Roman" w:hAnsi="Arial" w:cs="Arial"/>
                <w:b/>
                <w:bCs/>
                <w:color w:val="FFFFFF"/>
                <w:sz w:val="18"/>
                <w:szCs w:val="18"/>
                <w:lang w:eastAsia="cs-CZ"/>
              </w:rPr>
              <w:t>2016</w:t>
            </w:r>
          </w:p>
        </w:tc>
        <w:tc>
          <w:tcPr>
            <w:tcW w:w="777" w:type="dxa"/>
            <w:tcBorders>
              <w:top w:val="single" w:sz="8" w:space="0" w:color="auto"/>
              <w:left w:val="nil"/>
              <w:bottom w:val="single" w:sz="8" w:space="0" w:color="auto"/>
              <w:right w:val="single" w:sz="8" w:space="0" w:color="auto"/>
            </w:tcBorders>
            <w:shd w:val="clear" w:color="000000" w:fill="92D050"/>
            <w:vAlign w:val="center"/>
            <w:hideMark/>
          </w:tcPr>
          <w:p w:rsidR="00F1157B" w:rsidRPr="00F1157B" w:rsidRDefault="00F1157B" w:rsidP="00F1157B">
            <w:pPr>
              <w:spacing w:after="0" w:line="240" w:lineRule="auto"/>
              <w:jc w:val="center"/>
              <w:rPr>
                <w:rFonts w:ascii="Arial" w:eastAsia="Times New Roman" w:hAnsi="Arial" w:cs="Arial"/>
                <w:b/>
                <w:bCs/>
                <w:color w:val="FFFFFF"/>
                <w:sz w:val="18"/>
                <w:szCs w:val="18"/>
                <w:lang w:eastAsia="cs-CZ"/>
              </w:rPr>
            </w:pPr>
            <w:r w:rsidRPr="00F1157B">
              <w:rPr>
                <w:rFonts w:ascii="Arial" w:eastAsia="Times New Roman" w:hAnsi="Arial" w:cs="Arial"/>
                <w:b/>
                <w:bCs/>
                <w:color w:val="FFFFFF"/>
                <w:sz w:val="18"/>
                <w:szCs w:val="18"/>
                <w:lang w:eastAsia="cs-CZ"/>
              </w:rPr>
              <w:t>2015</w:t>
            </w:r>
          </w:p>
        </w:tc>
        <w:tc>
          <w:tcPr>
            <w:tcW w:w="6274" w:type="dxa"/>
            <w:tcBorders>
              <w:top w:val="single" w:sz="8" w:space="0" w:color="auto"/>
              <w:left w:val="nil"/>
              <w:bottom w:val="single" w:sz="8" w:space="0" w:color="auto"/>
              <w:right w:val="single" w:sz="8" w:space="0" w:color="auto"/>
            </w:tcBorders>
            <w:shd w:val="clear" w:color="000000" w:fill="92D050"/>
            <w:vAlign w:val="center"/>
            <w:hideMark/>
          </w:tcPr>
          <w:p w:rsidR="00F1157B" w:rsidRPr="00F1157B" w:rsidRDefault="00F1157B" w:rsidP="00F1157B">
            <w:pPr>
              <w:spacing w:after="0" w:line="240" w:lineRule="auto"/>
              <w:jc w:val="center"/>
              <w:rPr>
                <w:rFonts w:ascii="Arial" w:eastAsia="Times New Roman" w:hAnsi="Arial" w:cs="Arial"/>
                <w:b/>
                <w:bCs/>
                <w:color w:val="FFFFFF"/>
                <w:sz w:val="18"/>
                <w:szCs w:val="18"/>
                <w:lang w:eastAsia="cs-CZ"/>
              </w:rPr>
            </w:pPr>
            <w:r w:rsidRPr="00F1157B">
              <w:rPr>
                <w:rFonts w:ascii="Arial" w:eastAsia="Times New Roman" w:hAnsi="Arial" w:cs="Arial"/>
                <w:b/>
                <w:bCs/>
                <w:color w:val="FFFFFF"/>
                <w:sz w:val="18"/>
                <w:szCs w:val="18"/>
                <w:lang w:eastAsia="cs-CZ"/>
              </w:rPr>
              <w:t>Komentář</w:t>
            </w:r>
          </w:p>
        </w:tc>
      </w:tr>
      <w:tr w:rsidR="00F1157B" w:rsidRPr="00F1157B" w:rsidTr="00F1157B">
        <w:trPr>
          <w:trHeight w:val="473"/>
          <w:jc w:val="center"/>
        </w:trPr>
        <w:tc>
          <w:tcPr>
            <w:tcW w:w="871" w:type="dxa"/>
            <w:tcBorders>
              <w:top w:val="nil"/>
              <w:left w:val="single" w:sz="8" w:space="0" w:color="auto"/>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SCR</w:t>
            </w:r>
          </w:p>
        </w:tc>
        <w:tc>
          <w:tcPr>
            <w:tcW w:w="791"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jc w:val="right"/>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24 695</w:t>
            </w:r>
          </w:p>
        </w:tc>
        <w:tc>
          <w:tcPr>
            <w:tcW w:w="777"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jc w:val="right"/>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27 027</w:t>
            </w:r>
          </w:p>
        </w:tc>
        <w:tc>
          <w:tcPr>
            <w:tcW w:w="6274"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Meziroční pokles SCR zejména z důvodu poklesu předepsaného pojistného</w:t>
            </w:r>
          </w:p>
        </w:tc>
      </w:tr>
      <w:tr w:rsidR="00F1157B" w:rsidRPr="00F1157B" w:rsidTr="00F1157B">
        <w:trPr>
          <w:trHeight w:val="410"/>
          <w:jc w:val="center"/>
        </w:trPr>
        <w:tc>
          <w:tcPr>
            <w:tcW w:w="871" w:type="dxa"/>
            <w:tcBorders>
              <w:top w:val="nil"/>
              <w:left w:val="single" w:sz="8" w:space="0" w:color="auto"/>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MCR</w:t>
            </w:r>
          </w:p>
        </w:tc>
        <w:tc>
          <w:tcPr>
            <w:tcW w:w="791"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jc w:val="right"/>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67 550</w:t>
            </w:r>
          </w:p>
        </w:tc>
        <w:tc>
          <w:tcPr>
            <w:tcW w:w="777"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jc w:val="right"/>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67 500</w:t>
            </w:r>
          </w:p>
        </w:tc>
        <w:tc>
          <w:tcPr>
            <w:tcW w:w="6274" w:type="dxa"/>
            <w:tcBorders>
              <w:top w:val="nil"/>
              <w:left w:val="nil"/>
              <w:bottom w:val="single" w:sz="8" w:space="0" w:color="auto"/>
              <w:right w:val="single" w:sz="8" w:space="0" w:color="auto"/>
            </w:tcBorders>
            <w:shd w:val="clear" w:color="auto" w:fill="auto"/>
            <w:vAlign w:val="center"/>
            <w:hideMark/>
          </w:tcPr>
          <w:p w:rsidR="00F1157B" w:rsidRPr="00F1157B" w:rsidRDefault="00F1157B" w:rsidP="00F1157B">
            <w:pPr>
              <w:spacing w:after="0" w:line="240" w:lineRule="auto"/>
              <w:rPr>
                <w:rFonts w:ascii="Arial" w:eastAsia="Times New Roman" w:hAnsi="Arial" w:cs="Arial"/>
                <w:color w:val="000000"/>
                <w:sz w:val="18"/>
                <w:szCs w:val="18"/>
                <w:lang w:eastAsia="cs-CZ"/>
              </w:rPr>
            </w:pPr>
            <w:r w:rsidRPr="00F1157B">
              <w:rPr>
                <w:rFonts w:ascii="Arial" w:eastAsia="Times New Roman" w:hAnsi="Arial" w:cs="Arial"/>
                <w:color w:val="000000"/>
                <w:sz w:val="18"/>
                <w:szCs w:val="18"/>
                <w:lang w:eastAsia="cs-CZ"/>
              </w:rPr>
              <w:t>V roce 2015 pro zjednodušení uvažován kurs 27</w:t>
            </w:r>
            <w:r w:rsidR="00C45B76">
              <w:rPr>
                <w:rFonts w:ascii="Arial" w:eastAsia="Times New Roman" w:hAnsi="Arial" w:cs="Arial"/>
                <w:color w:val="000000"/>
                <w:sz w:val="18"/>
                <w:szCs w:val="18"/>
                <w:lang w:eastAsia="cs-CZ"/>
              </w:rPr>
              <w:t xml:space="preserve"> </w:t>
            </w:r>
            <w:r w:rsidRPr="00F1157B">
              <w:rPr>
                <w:rFonts w:ascii="Arial" w:eastAsia="Times New Roman" w:hAnsi="Arial" w:cs="Arial"/>
                <w:color w:val="000000"/>
                <w:sz w:val="18"/>
                <w:szCs w:val="18"/>
                <w:lang w:eastAsia="cs-CZ"/>
              </w:rPr>
              <w:t>CZK/EUR</w:t>
            </w:r>
          </w:p>
        </w:tc>
      </w:tr>
    </w:tbl>
    <w:p w:rsidR="005041EF" w:rsidRDefault="005041EF" w:rsidP="005041EF">
      <w:pPr>
        <w:rPr>
          <w:rFonts w:ascii="Times New Roman" w:hAnsi="Times New Roman" w:cs="Times New Roman"/>
          <w:sz w:val="24"/>
          <w:szCs w:val="24"/>
        </w:rPr>
      </w:pPr>
    </w:p>
    <w:p w:rsidR="00477DAA" w:rsidRDefault="00477DAA" w:rsidP="005041EF">
      <w:pPr>
        <w:rPr>
          <w:rFonts w:ascii="Times New Roman" w:hAnsi="Times New Roman" w:cs="Times New Roman"/>
          <w:sz w:val="24"/>
          <w:szCs w:val="24"/>
        </w:rPr>
      </w:pPr>
    </w:p>
    <w:p w:rsidR="005041EF" w:rsidRDefault="005041EF" w:rsidP="005041EF">
      <w:pPr>
        <w:rPr>
          <w:rFonts w:ascii="Times New Roman" w:hAnsi="Times New Roman" w:cs="Times New Roman"/>
          <w:sz w:val="24"/>
          <w:szCs w:val="24"/>
        </w:rPr>
      </w:pPr>
      <w:r w:rsidRPr="005041EF">
        <w:rPr>
          <w:rFonts w:ascii="Times New Roman" w:hAnsi="Times New Roman" w:cs="Times New Roman"/>
          <w:sz w:val="24"/>
          <w:szCs w:val="24"/>
        </w:rPr>
        <w:t>Výše solventnostního kapitálového požadavku Pojišťovny rozděleného podle r</w:t>
      </w:r>
      <w:r w:rsidR="00310C00">
        <w:rPr>
          <w:rFonts w:ascii="Times New Roman" w:hAnsi="Times New Roman" w:cs="Times New Roman"/>
          <w:sz w:val="24"/>
          <w:szCs w:val="24"/>
        </w:rPr>
        <w:t>izikových modulů je následující.</w:t>
      </w:r>
    </w:p>
    <w:tbl>
      <w:tblPr>
        <w:tblW w:w="8585" w:type="dxa"/>
        <w:jc w:val="center"/>
        <w:tblInd w:w="55" w:type="dxa"/>
        <w:tblCellMar>
          <w:left w:w="70" w:type="dxa"/>
          <w:right w:w="70" w:type="dxa"/>
        </w:tblCellMar>
        <w:tblLook w:val="04A0" w:firstRow="1" w:lastRow="0" w:firstColumn="1" w:lastColumn="0" w:noHBand="0" w:noVBand="1"/>
      </w:tblPr>
      <w:tblGrid>
        <w:gridCol w:w="3160"/>
        <w:gridCol w:w="791"/>
        <w:gridCol w:w="791"/>
        <w:gridCol w:w="3843"/>
      </w:tblGrid>
      <w:tr w:rsidR="00C45B76" w:rsidRPr="00C45B76" w:rsidTr="00C45B76">
        <w:trPr>
          <w:trHeight w:val="315"/>
          <w:jc w:val="center"/>
        </w:trPr>
        <w:tc>
          <w:tcPr>
            <w:tcW w:w="316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C45B76" w:rsidRPr="00C45B76" w:rsidRDefault="00C45B76" w:rsidP="00C45B76">
            <w:pPr>
              <w:spacing w:after="0" w:line="240" w:lineRule="auto"/>
              <w:jc w:val="center"/>
              <w:rPr>
                <w:rFonts w:ascii="Arial" w:eastAsia="Times New Roman" w:hAnsi="Arial" w:cs="Arial"/>
                <w:b/>
                <w:bCs/>
                <w:color w:val="FFFFFF"/>
                <w:sz w:val="18"/>
                <w:szCs w:val="18"/>
                <w:lang w:eastAsia="cs-CZ"/>
              </w:rPr>
            </w:pPr>
            <w:r w:rsidRPr="00C45B76">
              <w:rPr>
                <w:rFonts w:ascii="Arial" w:eastAsia="Times New Roman" w:hAnsi="Arial" w:cs="Arial"/>
                <w:b/>
                <w:bCs/>
                <w:color w:val="FFFFFF"/>
                <w:sz w:val="18"/>
                <w:szCs w:val="18"/>
                <w:lang w:eastAsia="cs-CZ"/>
              </w:rPr>
              <w:t>Solventní kapitálový požadavek</w:t>
            </w:r>
          </w:p>
        </w:tc>
        <w:tc>
          <w:tcPr>
            <w:tcW w:w="791" w:type="dxa"/>
            <w:tcBorders>
              <w:top w:val="single" w:sz="8" w:space="0" w:color="auto"/>
              <w:left w:val="nil"/>
              <w:bottom w:val="single" w:sz="8" w:space="0" w:color="auto"/>
              <w:right w:val="single" w:sz="8" w:space="0" w:color="auto"/>
            </w:tcBorders>
            <w:shd w:val="clear" w:color="000000" w:fill="92D050"/>
            <w:vAlign w:val="center"/>
            <w:hideMark/>
          </w:tcPr>
          <w:p w:rsidR="00C45B76" w:rsidRPr="00C45B76" w:rsidRDefault="00C45B76" w:rsidP="00C45B76">
            <w:pPr>
              <w:spacing w:after="0" w:line="240" w:lineRule="auto"/>
              <w:jc w:val="center"/>
              <w:rPr>
                <w:rFonts w:ascii="Arial" w:eastAsia="Times New Roman" w:hAnsi="Arial" w:cs="Arial"/>
                <w:b/>
                <w:bCs/>
                <w:color w:val="FFFFFF"/>
                <w:sz w:val="18"/>
                <w:szCs w:val="18"/>
                <w:lang w:eastAsia="cs-CZ"/>
              </w:rPr>
            </w:pPr>
            <w:r w:rsidRPr="00C45B76">
              <w:rPr>
                <w:rFonts w:ascii="Arial" w:eastAsia="Times New Roman" w:hAnsi="Arial" w:cs="Arial"/>
                <w:b/>
                <w:bCs/>
                <w:color w:val="FFFFFF"/>
                <w:sz w:val="18"/>
                <w:szCs w:val="18"/>
                <w:lang w:eastAsia="cs-CZ"/>
              </w:rPr>
              <w:t>2016</w:t>
            </w:r>
          </w:p>
        </w:tc>
        <w:tc>
          <w:tcPr>
            <w:tcW w:w="791" w:type="dxa"/>
            <w:tcBorders>
              <w:top w:val="single" w:sz="8" w:space="0" w:color="auto"/>
              <w:left w:val="nil"/>
              <w:bottom w:val="single" w:sz="8" w:space="0" w:color="auto"/>
              <w:right w:val="single" w:sz="8" w:space="0" w:color="auto"/>
            </w:tcBorders>
            <w:shd w:val="clear" w:color="000000" w:fill="92D050"/>
            <w:vAlign w:val="center"/>
            <w:hideMark/>
          </w:tcPr>
          <w:p w:rsidR="00C45B76" w:rsidRPr="00C45B76" w:rsidRDefault="00C45B76" w:rsidP="00C45B76">
            <w:pPr>
              <w:spacing w:after="0" w:line="240" w:lineRule="auto"/>
              <w:jc w:val="center"/>
              <w:rPr>
                <w:rFonts w:ascii="Arial" w:eastAsia="Times New Roman" w:hAnsi="Arial" w:cs="Arial"/>
                <w:b/>
                <w:bCs/>
                <w:color w:val="FFFFFF"/>
                <w:sz w:val="18"/>
                <w:szCs w:val="18"/>
                <w:lang w:eastAsia="cs-CZ"/>
              </w:rPr>
            </w:pPr>
            <w:r w:rsidRPr="00C45B76">
              <w:rPr>
                <w:rFonts w:ascii="Arial" w:eastAsia="Times New Roman" w:hAnsi="Arial" w:cs="Arial"/>
                <w:b/>
                <w:bCs/>
                <w:color w:val="FFFFFF"/>
                <w:sz w:val="18"/>
                <w:szCs w:val="18"/>
                <w:lang w:eastAsia="cs-CZ"/>
              </w:rPr>
              <w:t>2015</w:t>
            </w:r>
          </w:p>
        </w:tc>
        <w:tc>
          <w:tcPr>
            <w:tcW w:w="3843" w:type="dxa"/>
            <w:tcBorders>
              <w:top w:val="single" w:sz="8" w:space="0" w:color="auto"/>
              <w:left w:val="nil"/>
              <w:bottom w:val="single" w:sz="8" w:space="0" w:color="auto"/>
              <w:right w:val="single" w:sz="8" w:space="0" w:color="auto"/>
            </w:tcBorders>
            <w:shd w:val="clear" w:color="000000" w:fill="92D050"/>
            <w:vAlign w:val="center"/>
            <w:hideMark/>
          </w:tcPr>
          <w:p w:rsidR="00C45B76" w:rsidRPr="00C45B76" w:rsidRDefault="00C45B76" w:rsidP="00C45B76">
            <w:pPr>
              <w:spacing w:after="0" w:line="240" w:lineRule="auto"/>
              <w:jc w:val="center"/>
              <w:rPr>
                <w:rFonts w:ascii="Arial" w:eastAsia="Times New Roman" w:hAnsi="Arial" w:cs="Arial"/>
                <w:b/>
                <w:bCs/>
                <w:color w:val="FFFFFF"/>
                <w:sz w:val="18"/>
                <w:szCs w:val="18"/>
                <w:lang w:eastAsia="cs-CZ"/>
              </w:rPr>
            </w:pPr>
            <w:r w:rsidRPr="00C45B76">
              <w:rPr>
                <w:rFonts w:ascii="Arial" w:eastAsia="Times New Roman" w:hAnsi="Arial" w:cs="Arial"/>
                <w:b/>
                <w:bCs/>
                <w:color w:val="FFFFFF"/>
                <w:sz w:val="18"/>
                <w:szCs w:val="18"/>
                <w:lang w:eastAsia="cs-CZ"/>
              </w:rPr>
              <w:t>Komentář</w:t>
            </w:r>
          </w:p>
        </w:tc>
      </w:tr>
      <w:tr w:rsidR="00C45B76" w:rsidRPr="00C45B76" w:rsidTr="00C45B76">
        <w:trPr>
          <w:trHeight w:val="49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Modul neživotního upisovacího rizika</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9 596</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11 247</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Pokles z důvodu poklesu předpisu pojistného</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Modul zdravotního upisovacího rizika</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0</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0</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 </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Modul tržního rizika</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12 488</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12 531</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 </w:t>
            </w:r>
          </w:p>
        </w:tc>
      </w:tr>
      <w:tr w:rsidR="00C45B76" w:rsidRPr="00C45B76" w:rsidTr="00C45B76">
        <w:trPr>
          <w:trHeight w:val="49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Modul rizika selhání protistrany</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10 331</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11 444</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Pokles z důvodu nižších depozit</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Modul rizika nehmotných aktiv</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0</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0</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 </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Operační riziko</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647</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847</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 </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Diverzifikační efekt</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-8 367</w:t>
            </w:r>
          </w:p>
        </w:tc>
        <w:tc>
          <w:tcPr>
            <w:tcW w:w="791"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jc w:val="right"/>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-9 043</w:t>
            </w:r>
          </w:p>
        </w:tc>
        <w:tc>
          <w:tcPr>
            <w:tcW w:w="3843" w:type="dxa"/>
            <w:tcBorders>
              <w:top w:val="nil"/>
              <w:left w:val="nil"/>
              <w:bottom w:val="single" w:sz="8" w:space="0" w:color="auto"/>
              <w:right w:val="single" w:sz="8" w:space="0" w:color="auto"/>
            </w:tcBorders>
            <w:shd w:val="clear" w:color="auto" w:fill="auto"/>
            <w:vAlign w:val="center"/>
            <w:hideMark/>
          </w:tcPr>
          <w:p w:rsidR="00C45B76" w:rsidRPr="00C45B76" w:rsidRDefault="00C45B76" w:rsidP="00C45B76">
            <w:pPr>
              <w:spacing w:after="0" w:line="240" w:lineRule="auto"/>
              <w:rPr>
                <w:rFonts w:ascii="Arial" w:eastAsia="Times New Roman" w:hAnsi="Arial" w:cs="Arial"/>
                <w:color w:val="000000"/>
                <w:sz w:val="18"/>
                <w:szCs w:val="18"/>
                <w:lang w:eastAsia="cs-CZ"/>
              </w:rPr>
            </w:pPr>
            <w:r w:rsidRPr="00C45B76">
              <w:rPr>
                <w:rFonts w:ascii="Arial" w:eastAsia="Times New Roman" w:hAnsi="Arial" w:cs="Arial"/>
                <w:color w:val="000000"/>
                <w:sz w:val="18"/>
                <w:szCs w:val="18"/>
                <w:lang w:eastAsia="cs-CZ"/>
              </w:rPr>
              <w:t> </w:t>
            </w:r>
          </w:p>
        </w:tc>
      </w:tr>
      <w:tr w:rsidR="00C45B76" w:rsidRPr="00C45B76" w:rsidTr="00C45B76">
        <w:trPr>
          <w:trHeight w:val="315"/>
          <w:jc w:val="center"/>
        </w:trPr>
        <w:tc>
          <w:tcPr>
            <w:tcW w:w="3160" w:type="dxa"/>
            <w:tcBorders>
              <w:top w:val="nil"/>
              <w:left w:val="single" w:sz="8" w:space="0" w:color="auto"/>
              <w:bottom w:val="single" w:sz="8" w:space="0" w:color="auto"/>
              <w:right w:val="single" w:sz="8" w:space="0" w:color="auto"/>
            </w:tcBorders>
            <w:shd w:val="clear" w:color="000000" w:fill="D9D9D9"/>
            <w:vAlign w:val="center"/>
            <w:hideMark/>
          </w:tcPr>
          <w:p w:rsidR="00C45B76" w:rsidRPr="00C45B76" w:rsidRDefault="00C45B76" w:rsidP="00C45B76">
            <w:pPr>
              <w:spacing w:after="0" w:line="240" w:lineRule="auto"/>
              <w:rPr>
                <w:rFonts w:ascii="Arial" w:eastAsia="Times New Roman" w:hAnsi="Arial" w:cs="Arial"/>
                <w:b/>
                <w:bCs/>
                <w:color w:val="000000"/>
                <w:sz w:val="18"/>
                <w:szCs w:val="18"/>
                <w:lang w:eastAsia="cs-CZ"/>
              </w:rPr>
            </w:pPr>
            <w:r w:rsidRPr="00C45B76">
              <w:rPr>
                <w:rFonts w:ascii="Arial" w:eastAsia="Times New Roman" w:hAnsi="Arial" w:cs="Arial"/>
                <w:b/>
                <w:bCs/>
                <w:color w:val="000000"/>
                <w:sz w:val="18"/>
                <w:szCs w:val="18"/>
                <w:lang w:eastAsia="cs-CZ"/>
              </w:rPr>
              <w:t>Celkem</w:t>
            </w:r>
          </w:p>
        </w:tc>
        <w:tc>
          <w:tcPr>
            <w:tcW w:w="791" w:type="dxa"/>
            <w:tcBorders>
              <w:top w:val="nil"/>
              <w:left w:val="nil"/>
              <w:bottom w:val="single" w:sz="8" w:space="0" w:color="auto"/>
              <w:right w:val="single" w:sz="8" w:space="0" w:color="auto"/>
            </w:tcBorders>
            <w:shd w:val="clear" w:color="000000" w:fill="D9D9D9"/>
            <w:vAlign w:val="center"/>
            <w:hideMark/>
          </w:tcPr>
          <w:p w:rsidR="00C45B76" w:rsidRPr="00C45B76" w:rsidRDefault="00C45B76" w:rsidP="00C45B76">
            <w:pPr>
              <w:spacing w:after="0" w:line="240" w:lineRule="auto"/>
              <w:jc w:val="right"/>
              <w:rPr>
                <w:rFonts w:ascii="Arial" w:eastAsia="Times New Roman" w:hAnsi="Arial" w:cs="Arial"/>
                <w:b/>
                <w:bCs/>
                <w:color w:val="000000"/>
                <w:sz w:val="18"/>
                <w:szCs w:val="18"/>
                <w:lang w:eastAsia="cs-CZ"/>
              </w:rPr>
            </w:pPr>
            <w:r w:rsidRPr="00C45B76">
              <w:rPr>
                <w:rFonts w:ascii="Arial" w:eastAsia="Times New Roman" w:hAnsi="Arial" w:cs="Arial"/>
                <w:b/>
                <w:bCs/>
                <w:color w:val="000000"/>
                <w:sz w:val="18"/>
                <w:szCs w:val="18"/>
                <w:lang w:eastAsia="cs-CZ"/>
              </w:rPr>
              <w:t>24 695</w:t>
            </w:r>
          </w:p>
        </w:tc>
        <w:tc>
          <w:tcPr>
            <w:tcW w:w="791" w:type="dxa"/>
            <w:tcBorders>
              <w:top w:val="nil"/>
              <w:left w:val="nil"/>
              <w:bottom w:val="single" w:sz="8" w:space="0" w:color="auto"/>
              <w:right w:val="single" w:sz="8" w:space="0" w:color="auto"/>
            </w:tcBorders>
            <w:shd w:val="clear" w:color="000000" w:fill="D9D9D9"/>
            <w:vAlign w:val="center"/>
            <w:hideMark/>
          </w:tcPr>
          <w:p w:rsidR="00C45B76" w:rsidRPr="00C45B76" w:rsidRDefault="00C45B76" w:rsidP="00C45B76">
            <w:pPr>
              <w:spacing w:after="0" w:line="240" w:lineRule="auto"/>
              <w:jc w:val="right"/>
              <w:rPr>
                <w:rFonts w:ascii="Arial" w:eastAsia="Times New Roman" w:hAnsi="Arial" w:cs="Arial"/>
                <w:b/>
                <w:bCs/>
                <w:color w:val="000000"/>
                <w:sz w:val="18"/>
                <w:szCs w:val="18"/>
                <w:lang w:eastAsia="cs-CZ"/>
              </w:rPr>
            </w:pPr>
            <w:r w:rsidRPr="00C45B76">
              <w:rPr>
                <w:rFonts w:ascii="Arial" w:eastAsia="Times New Roman" w:hAnsi="Arial" w:cs="Arial"/>
                <w:b/>
                <w:bCs/>
                <w:color w:val="000000"/>
                <w:sz w:val="18"/>
                <w:szCs w:val="18"/>
                <w:lang w:eastAsia="cs-CZ"/>
              </w:rPr>
              <w:t>27 027</w:t>
            </w:r>
          </w:p>
        </w:tc>
        <w:tc>
          <w:tcPr>
            <w:tcW w:w="3843" w:type="dxa"/>
            <w:tcBorders>
              <w:top w:val="nil"/>
              <w:left w:val="nil"/>
              <w:bottom w:val="single" w:sz="8" w:space="0" w:color="auto"/>
              <w:right w:val="single" w:sz="8" w:space="0" w:color="auto"/>
            </w:tcBorders>
            <w:shd w:val="clear" w:color="000000" w:fill="D9D9D9"/>
            <w:vAlign w:val="center"/>
            <w:hideMark/>
          </w:tcPr>
          <w:p w:rsidR="00C45B76" w:rsidRPr="00C45B76" w:rsidRDefault="00C45B76" w:rsidP="00C45B76">
            <w:pPr>
              <w:spacing w:after="0" w:line="240" w:lineRule="auto"/>
              <w:rPr>
                <w:rFonts w:ascii="Arial" w:eastAsia="Times New Roman" w:hAnsi="Arial" w:cs="Arial"/>
                <w:b/>
                <w:bCs/>
                <w:color w:val="000000"/>
                <w:sz w:val="18"/>
                <w:szCs w:val="18"/>
                <w:lang w:eastAsia="cs-CZ"/>
              </w:rPr>
            </w:pPr>
            <w:r w:rsidRPr="00C45B76">
              <w:rPr>
                <w:rFonts w:ascii="Arial" w:eastAsia="Times New Roman" w:hAnsi="Arial" w:cs="Arial"/>
                <w:b/>
                <w:bCs/>
                <w:color w:val="000000"/>
                <w:sz w:val="18"/>
                <w:szCs w:val="18"/>
                <w:lang w:eastAsia="cs-CZ"/>
              </w:rPr>
              <w:t> </w:t>
            </w:r>
          </w:p>
        </w:tc>
      </w:tr>
    </w:tbl>
    <w:p w:rsidR="00D1794E" w:rsidRDefault="00D1794E" w:rsidP="00C45B76">
      <w:pPr>
        <w:rPr>
          <w:rFonts w:ascii="Times New Roman" w:hAnsi="Times New Roman" w:cs="Times New Roman"/>
          <w:sz w:val="24"/>
          <w:szCs w:val="24"/>
        </w:rPr>
      </w:pPr>
    </w:p>
    <w:p w:rsidR="00C45B76" w:rsidRPr="00C45B76" w:rsidRDefault="00C45B76" w:rsidP="00C45B76">
      <w:pPr>
        <w:rPr>
          <w:rFonts w:ascii="Times New Roman" w:hAnsi="Times New Roman" w:cs="Times New Roman"/>
          <w:sz w:val="24"/>
          <w:szCs w:val="24"/>
        </w:rPr>
      </w:pPr>
      <w:r w:rsidRPr="00C45B76">
        <w:rPr>
          <w:rFonts w:ascii="Times New Roman" w:hAnsi="Times New Roman" w:cs="Times New Roman"/>
          <w:sz w:val="24"/>
          <w:szCs w:val="24"/>
        </w:rPr>
        <w:t>Solventnostní poměr pro roky 2015 a 2016 zobrazuje následující tabulka.</w:t>
      </w:r>
    </w:p>
    <w:tbl>
      <w:tblPr>
        <w:tblW w:w="3722" w:type="dxa"/>
        <w:jc w:val="center"/>
        <w:tblInd w:w="55" w:type="dxa"/>
        <w:tblCellMar>
          <w:left w:w="70" w:type="dxa"/>
          <w:right w:w="70" w:type="dxa"/>
        </w:tblCellMar>
        <w:tblLook w:val="04A0" w:firstRow="1" w:lastRow="0" w:firstColumn="1" w:lastColumn="0" w:noHBand="0" w:noVBand="1"/>
      </w:tblPr>
      <w:tblGrid>
        <w:gridCol w:w="1940"/>
        <w:gridCol w:w="891"/>
        <w:gridCol w:w="891"/>
      </w:tblGrid>
      <w:tr w:rsidR="004F6DF7" w:rsidRPr="004F6DF7" w:rsidTr="004F6DF7">
        <w:trPr>
          <w:trHeight w:val="315"/>
          <w:jc w:val="center"/>
        </w:trPr>
        <w:tc>
          <w:tcPr>
            <w:tcW w:w="1940"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4F6DF7" w:rsidRPr="004F6DF7" w:rsidRDefault="004F6DF7" w:rsidP="004F6DF7">
            <w:pPr>
              <w:spacing w:after="0" w:line="240" w:lineRule="auto"/>
              <w:jc w:val="center"/>
              <w:rPr>
                <w:rFonts w:ascii="Arial" w:eastAsia="Times New Roman" w:hAnsi="Arial" w:cs="Arial"/>
                <w:b/>
                <w:bCs/>
                <w:color w:val="FFFFFF"/>
                <w:sz w:val="18"/>
                <w:szCs w:val="18"/>
                <w:lang w:eastAsia="cs-CZ"/>
              </w:rPr>
            </w:pPr>
            <w:r w:rsidRPr="004F6DF7">
              <w:rPr>
                <w:rFonts w:ascii="Arial" w:eastAsia="Times New Roman" w:hAnsi="Arial" w:cs="Arial"/>
                <w:b/>
                <w:bCs/>
                <w:color w:val="FFFFFF"/>
                <w:sz w:val="18"/>
                <w:szCs w:val="18"/>
                <w:lang w:eastAsia="cs-CZ"/>
              </w:rPr>
              <w:t>Ukazatel</w:t>
            </w:r>
          </w:p>
        </w:tc>
        <w:tc>
          <w:tcPr>
            <w:tcW w:w="891" w:type="dxa"/>
            <w:tcBorders>
              <w:top w:val="single" w:sz="8" w:space="0" w:color="auto"/>
              <w:left w:val="nil"/>
              <w:bottom w:val="single" w:sz="8" w:space="0" w:color="auto"/>
              <w:right w:val="single" w:sz="8" w:space="0" w:color="auto"/>
            </w:tcBorders>
            <w:shd w:val="clear" w:color="000000" w:fill="92D050"/>
            <w:vAlign w:val="center"/>
            <w:hideMark/>
          </w:tcPr>
          <w:p w:rsidR="004F6DF7" w:rsidRPr="004F6DF7" w:rsidRDefault="004F6DF7" w:rsidP="004F6DF7">
            <w:pPr>
              <w:spacing w:after="0" w:line="240" w:lineRule="auto"/>
              <w:jc w:val="center"/>
              <w:rPr>
                <w:rFonts w:ascii="Arial" w:eastAsia="Times New Roman" w:hAnsi="Arial" w:cs="Arial"/>
                <w:b/>
                <w:bCs/>
                <w:color w:val="FFFFFF"/>
                <w:sz w:val="18"/>
                <w:szCs w:val="18"/>
                <w:lang w:eastAsia="cs-CZ"/>
              </w:rPr>
            </w:pPr>
            <w:r w:rsidRPr="004F6DF7">
              <w:rPr>
                <w:rFonts w:ascii="Arial" w:eastAsia="Times New Roman" w:hAnsi="Arial" w:cs="Arial"/>
                <w:b/>
                <w:bCs/>
                <w:color w:val="FFFFFF"/>
                <w:sz w:val="18"/>
                <w:szCs w:val="18"/>
                <w:lang w:eastAsia="cs-CZ"/>
              </w:rPr>
              <w:t>2016</w:t>
            </w:r>
          </w:p>
        </w:tc>
        <w:tc>
          <w:tcPr>
            <w:tcW w:w="891" w:type="dxa"/>
            <w:tcBorders>
              <w:top w:val="single" w:sz="8" w:space="0" w:color="auto"/>
              <w:left w:val="nil"/>
              <w:bottom w:val="single" w:sz="8" w:space="0" w:color="auto"/>
              <w:right w:val="single" w:sz="8" w:space="0" w:color="auto"/>
            </w:tcBorders>
            <w:shd w:val="clear" w:color="000000" w:fill="92D050"/>
            <w:vAlign w:val="center"/>
            <w:hideMark/>
          </w:tcPr>
          <w:p w:rsidR="004F6DF7" w:rsidRPr="004F6DF7" w:rsidRDefault="004F6DF7" w:rsidP="004F6DF7">
            <w:pPr>
              <w:spacing w:after="0" w:line="240" w:lineRule="auto"/>
              <w:jc w:val="center"/>
              <w:rPr>
                <w:rFonts w:ascii="Arial" w:eastAsia="Times New Roman" w:hAnsi="Arial" w:cs="Arial"/>
                <w:b/>
                <w:bCs/>
                <w:color w:val="FFFFFF"/>
                <w:sz w:val="18"/>
                <w:szCs w:val="18"/>
                <w:lang w:eastAsia="cs-CZ"/>
              </w:rPr>
            </w:pPr>
            <w:r w:rsidRPr="004F6DF7">
              <w:rPr>
                <w:rFonts w:ascii="Arial" w:eastAsia="Times New Roman" w:hAnsi="Arial" w:cs="Arial"/>
                <w:b/>
                <w:bCs/>
                <w:color w:val="FFFFFF"/>
                <w:sz w:val="18"/>
                <w:szCs w:val="18"/>
                <w:lang w:eastAsia="cs-CZ"/>
              </w:rPr>
              <w:t>2015</w:t>
            </w:r>
          </w:p>
        </w:tc>
      </w:tr>
      <w:tr w:rsidR="004F6DF7" w:rsidRPr="004F6DF7" w:rsidTr="004F6DF7">
        <w:trPr>
          <w:trHeight w:val="315"/>
          <w:jc w:val="center"/>
        </w:trPr>
        <w:tc>
          <w:tcPr>
            <w:tcW w:w="1940" w:type="dxa"/>
            <w:tcBorders>
              <w:top w:val="nil"/>
              <w:left w:val="single" w:sz="8" w:space="0" w:color="auto"/>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SCR</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24 695</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27 027</w:t>
            </w:r>
          </w:p>
        </w:tc>
      </w:tr>
      <w:tr w:rsidR="004F6DF7" w:rsidRPr="004F6DF7" w:rsidTr="004F6DF7">
        <w:trPr>
          <w:trHeight w:val="315"/>
          <w:jc w:val="center"/>
        </w:trPr>
        <w:tc>
          <w:tcPr>
            <w:tcW w:w="1940" w:type="dxa"/>
            <w:tcBorders>
              <w:top w:val="nil"/>
              <w:left w:val="single" w:sz="8" w:space="0" w:color="auto"/>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MCR</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67 550</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67 500</w:t>
            </w:r>
          </w:p>
        </w:tc>
      </w:tr>
      <w:tr w:rsidR="004F6DF7" w:rsidRPr="004F6DF7" w:rsidTr="004F6DF7">
        <w:trPr>
          <w:trHeight w:val="315"/>
          <w:jc w:val="center"/>
        </w:trPr>
        <w:tc>
          <w:tcPr>
            <w:tcW w:w="1940" w:type="dxa"/>
            <w:tcBorders>
              <w:top w:val="nil"/>
              <w:left w:val="single" w:sz="8" w:space="0" w:color="auto"/>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Kapitál</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120 430</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122 075</w:t>
            </w:r>
          </w:p>
        </w:tc>
      </w:tr>
      <w:tr w:rsidR="004F6DF7" w:rsidRPr="004F6DF7" w:rsidTr="004F6DF7">
        <w:trPr>
          <w:trHeight w:val="315"/>
          <w:jc w:val="center"/>
        </w:trPr>
        <w:tc>
          <w:tcPr>
            <w:tcW w:w="1940" w:type="dxa"/>
            <w:tcBorders>
              <w:top w:val="nil"/>
              <w:left w:val="single" w:sz="8" w:space="0" w:color="auto"/>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Solventnostní poměr</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178%</w:t>
            </w:r>
          </w:p>
        </w:tc>
        <w:tc>
          <w:tcPr>
            <w:tcW w:w="891" w:type="dxa"/>
            <w:tcBorders>
              <w:top w:val="nil"/>
              <w:left w:val="nil"/>
              <w:bottom w:val="single" w:sz="8" w:space="0" w:color="auto"/>
              <w:right w:val="single" w:sz="8" w:space="0" w:color="auto"/>
            </w:tcBorders>
            <w:shd w:val="clear" w:color="auto" w:fill="auto"/>
            <w:vAlign w:val="center"/>
            <w:hideMark/>
          </w:tcPr>
          <w:p w:rsidR="004F6DF7" w:rsidRPr="004F6DF7" w:rsidRDefault="004F6DF7" w:rsidP="004F6DF7">
            <w:pPr>
              <w:spacing w:after="0" w:line="240" w:lineRule="auto"/>
              <w:jc w:val="right"/>
              <w:rPr>
                <w:rFonts w:ascii="Arial" w:eastAsia="Times New Roman" w:hAnsi="Arial" w:cs="Arial"/>
                <w:color w:val="000000"/>
                <w:sz w:val="18"/>
                <w:szCs w:val="18"/>
                <w:lang w:eastAsia="cs-CZ"/>
              </w:rPr>
            </w:pPr>
            <w:r w:rsidRPr="004F6DF7">
              <w:rPr>
                <w:rFonts w:ascii="Arial" w:eastAsia="Times New Roman" w:hAnsi="Arial" w:cs="Arial"/>
                <w:color w:val="000000"/>
                <w:sz w:val="18"/>
                <w:szCs w:val="18"/>
                <w:lang w:eastAsia="cs-CZ"/>
              </w:rPr>
              <w:t>181%</w:t>
            </w:r>
          </w:p>
        </w:tc>
      </w:tr>
    </w:tbl>
    <w:p w:rsidR="00C45B76" w:rsidRDefault="00C45B76" w:rsidP="00310C00">
      <w:pPr>
        <w:jc w:val="both"/>
        <w:rPr>
          <w:rFonts w:ascii="Times New Roman" w:hAnsi="Times New Roman" w:cs="Times New Roman"/>
          <w:sz w:val="24"/>
          <w:szCs w:val="24"/>
        </w:rPr>
      </w:pPr>
    </w:p>
    <w:p w:rsidR="00310C00" w:rsidRPr="00310C00" w:rsidRDefault="00310C00" w:rsidP="00310C00">
      <w:pPr>
        <w:jc w:val="both"/>
        <w:rPr>
          <w:rFonts w:ascii="Times New Roman" w:hAnsi="Times New Roman" w:cs="Times New Roman"/>
          <w:sz w:val="24"/>
          <w:szCs w:val="24"/>
        </w:rPr>
      </w:pPr>
      <w:r w:rsidRPr="00310C00">
        <w:rPr>
          <w:rFonts w:ascii="Times New Roman" w:hAnsi="Times New Roman" w:cs="Times New Roman"/>
          <w:sz w:val="24"/>
          <w:szCs w:val="24"/>
        </w:rPr>
        <w:t>Pojišťovna při výpočtu solventnostního kapitálového požadavku nepoužívá specifické parametry.</w:t>
      </w:r>
      <w:r>
        <w:rPr>
          <w:rFonts w:ascii="Times New Roman" w:hAnsi="Times New Roman" w:cs="Times New Roman"/>
          <w:sz w:val="24"/>
          <w:szCs w:val="24"/>
        </w:rPr>
        <w:t xml:space="preserve"> </w:t>
      </w:r>
      <w:r w:rsidRPr="00310C00">
        <w:rPr>
          <w:rFonts w:ascii="Times New Roman" w:hAnsi="Times New Roman" w:cs="Times New Roman"/>
          <w:sz w:val="24"/>
          <w:szCs w:val="24"/>
        </w:rPr>
        <w:t xml:space="preserve">Pojišťovna používá pro výpočet solventnostního kapitálového požadavku </w:t>
      </w:r>
      <w:r>
        <w:rPr>
          <w:rFonts w:ascii="Times New Roman" w:hAnsi="Times New Roman" w:cs="Times New Roman"/>
          <w:sz w:val="24"/>
          <w:szCs w:val="24"/>
        </w:rPr>
        <w:t xml:space="preserve">pro kreditní riziko </w:t>
      </w:r>
      <w:r w:rsidRPr="00310C00">
        <w:rPr>
          <w:rFonts w:ascii="Times New Roman" w:hAnsi="Times New Roman" w:cs="Times New Roman"/>
          <w:sz w:val="24"/>
          <w:szCs w:val="24"/>
        </w:rPr>
        <w:t>zjednodušení dle Nařízení 2015/35/ES</w:t>
      </w:r>
      <w:r>
        <w:rPr>
          <w:rFonts w:ascii="Times New Roman" w:hAnsi="Times New Roman" w:cs="Times New Roman"/>
          <w:sz w:val="24"/>
          <w:szCs w:val="24"/>
        </w:rPr>
        <w:t xml:space="preserve">. </w:t>
      </w:r>
      <w:r w:rsidRPr="00310C00">
        <w:rPr>
          <w:rFonts w:ascii="Times New Roman" w:hAnsi="Times New Roman" w:cs="Times New Roman"/>
          <w:sz w:val="24"/>
          <w:szCs w:val="24"/>
        </w:rPr>
        <w:t xml:space="preserve">V průběhu roku 2016 nedošlo k významným změnám </w:t>
      </w:r>
      <w:r>
        <w:rPr>
          <w:rFonts w:ascii="Times New Roman" w:hAnsi="Times New Roman" w:cs="Times New Roman"/>
          <w:sz w:val="24"/>
          <w:szCs w:val="24"/>
        </w:rPr>
        <w:t>solventnostního</w:t>
      </w:r>
      <w:r w:rsidRPr="00310C00">
        <w:rPr>
          <w:rFonts w:ascii="Times New Roman" w:hAnsi="Times New Roman" w:cs="Times New Roman"/>
          <w:sz w:val="24"/>
          <w:szCs w:val="24"/>
        </w:rPr>
        <w:t xml:space="preserve"> kapitálového požadavku.</w:t>
      </w:r>
    </w:p>
    <w:p w:rsidR="00E379C4" w:rsidRDefault="00E379C4" w:rsidP="00E379C4">
      <w:pPr>
        <w:rPr>
          <w:rFonts w:ascii="Times New Roman" w:hAnsi="Times New Roman" w:cs="Times New Roman"/>
          <w:b/>
          <w:sz w:val="28"/>
          <w:szCs w:val="28"/>
        </w:rPr>
      </w:pPr>
      <w:r w:rsidRPr="00E379C4">
        <w:rPr>
          <w:rFonts w:ascii="Times New Roman" w:hAnsi="Times New Roman" w:cs="Times New Roman"/>
          <w:b/>
          <w:sz w:val="28"/>
          <w:szCs w:val="28"/>
        </w:rPr>
        <w:t>5.3</w:t>
      </w:r>
      <w:r w:rsidRPr="00E379C4">
        <w:rPr>
          <w:rFonts w:ascii="Times New Roman" w:hAnsi="Times New Roman" w:cs="Times New Roman"/>
          <w:b/>
          <w:sz w:val="28"/>
          <w:szCs w:val="28"/>
        </w:rPr>
        <w:tab/>
        <w:t>Použití podmodulu akciového rizika založeného na duraci při výpočtu solventnostního kapitálového požadavku</w:t>
      </w:r>
    </w:p>
    <w:p w:rsidR="009445D6" w:rsidRPr="009445D6" w:rsidRDefault="009445D6" w:rsidP="009445D6">
      <w:pPr>
        <w:pStyle w:val="Zkladntext"/>
        <w:spacing w:before="0" w:after="0"/>
        <w:rPr>
          <w:rFonts w:ascii="Times New Roman" w:hAnsi="Times New Roman"/>
          <w:b/>
          <w:sz w:val="24"/>
          <w:szCs w:val="24"/>
        </w:rPr>
      </w:pPr>
      <w:r w:rsidRPr="009445D6">
        <w:rPr>
          <w:rFonts w:ascii="Times New Roman" w:hAnsi="Times New Roman"/>
          <w:sz w:val="24"/>
          <w:szCs w:val="24"/>
        </w:rPr>
        <w:t>Pojišťovna při výpočtu solventnostního kapitálového požadavku nevyužívá v podmodulu akciového rizika přístup založený na duraci.</w:t>
      </w:r>
    </w:p>
    <w:p w:rsidR="009445D6" w:rsidRPr="00E379C4" w:rsidRDefault="009445D6" w:rsidP="00E379C4">
      <w:pPr>
        <w:rPr>
          <w:rFonts w:ascii="Times New Roman" w:hAnsi="Times New Roman" w:cs="Times New Roman"/>
          <w:b/>
          <w:sz w:val="28"/>
          <w:szCs w:val="28"/>
        </w:rPr>
      </w:pPr>
    </w:p>
    <w:p w:rsidR="00E379C4" w:rsidRDefault="00E379C4" w:rsidP="00E379C4">
      <w:pPr>
        <w:rPr>
          <w:rFonts w:ascii="Times New Roman" w:hAnsi="Times New Roman" w:cs="Times New Roman"/>
          <w:b/>
          <w:sz w:val="28"/>
          <w:szCs w:val="28"/>
        </w:rPr>
      </w:pPr>
      <w:r w:rsidRPr="00E379C4">
        <w:rPr>
          <w:rFonts w:ascii="Times New Roman" w:hAnsi="Times New Roman" w:cs="Times New Roman"/>
          <w:b/>
          <w:sz w:val="28"/>
          <w:szCs w:val="28"/>
        </w:rPr>
        <w:t>5.4</w:t>
      </w:r>
      <w:r w:rsidRPr="00E379C4">
        <w:rPr>
          <w:rFonts w:ascii="Times New Roman" w:hAnsi="Times New Roman" w:cs="Times New Roman"/>
          <w:b/>
          <w:sz w:val="28"/>
          <w:szCs w:val="28"/>
        </w:rPr>
        <w:tab/>
        <w:t>Nedodržení minimálního kapitálového požadavku a nedodržení solventnostního kapitálového požadavku</w:t>
      </w:r>
    </w:p>
    <w:p w:rsidR="009445D6" w:rsidRPr="00365FD2" w:rsidRDefault="009445D6" w:rsidP="009445D6">
      <w:pPr>
        <w:spacing w:after="60"/>
        <w:jc w:val="both"/>
        <w:rPr>
          <w:rFonts w:ascii="Times New Roman" w:hAnsi="Times New Roman" w:cs="Times New Roman"/>
          <w:sz w:val="24"/>
          <w:szCs w:val="24"/>
        </w:rPr>
      </w:pPr>
      <w:r w:rsidRPr="009445D6">
        <w:rPr>
          <w:rFonts w:ascii="Times New Roman" w:hAnsi="Times New Roman" w:cs="Times New Roman"/>
          <w:sz w:val="24"/>
          <w:szCs w:val="24"/>
        </w:rPr>
        <w:t>V roce 2016 nedošlo k žádnému nedodržení minimálního ani solventn</w:t>
      </w:r>
      <w:r w:rsidR="00365FD2">
        <w:rPr>
          <w:rFonts w:ascii="Times New Roman" w:hAnsi="Times New Roman" w:cs="Times New Roman"/>
          <w:sz w:val="24"/>
          <w:szCs w:val="24"/>
        </w:rPr>
        <w:t xml:space="preserve">ostního kapitálového požadavku. </w:t>
      </w:r>
      <w:r w:rsidRPr="009445D6">
        <w:rPr>
          <w:rFonts w:ascii="Times New Roman" w:hAnsi="Times New Roman" w:cs="Times New Roman"/>
          <w:sz w:val="24"/>
          <w:szCs w:val="24"/>
        </w:rPr>
        <w:t>ORSA proces neindikuje žádné riziko nedodržení minimálního ani solventnostního kapitálového požadavku a to ani v testovaných stresových scénářích.</w:t>
      </w:r>
    </w:p>
    <w:p w:rsidR="00C65C78" w:rsidRDefault="00C65C78" w:rsidP="00B96975">
      <w:pPr>
        <w:rPr>
          <w:rFonts w:ascii="Times New Roman" w:hAnsi="Times New Roman" w:cs="Times New Roman"/>
          <w:b/>
          <w:sz w:val="28"/>
          <w:szCs w:val="28"/>
        </w:rPr>
      </w:pPr>
    </w:p>
    <w:p w:rsidR="00B96975" w:rsidRPr="00B96975" w:rsidRDefault="00B96975" w:rsidP="00B96975">
      <w:pPr>
        <w:rPr>
          <w:rFonts w:ascii="Times New Roman" w:hAnsi="Times New Roman" w:cs="Times New Roman"/>
          <w:b/>
          <w:sz w:val="28"/>
          <w:szCs w:val="28"/>
        </w:rPr>
      </w:pPr>
      <w:r w:rsidRPr="00B96975">
        <w:rPr>
          <w:rFonts w:ascii="Times New Roman" w:hAnsi="Times New Roman" w:cs="Times New Roman"/>
          <w:b/>
          <w:sz w:val="28"/>
          <w:szCs w:val="28"/>
        </w:rPr>
        <w:t>5.5</w:t>
      </w:r>
      <w:r w:rsidRPr="00B96975">
        <w:rPr>
          <w:rFonts w:ascii="Times New Roman" w:hAnsi="Times New Roman" w:cs="Times New Roman"/>
          <w:b/>
          <w:sz w:val="28"/>
          <w:szCs w:val="28"/>
        </w:rPr>
        <w:tab/>
        <w:t>Další informace</w:t>
      </w:r>
    </w:p>
    <w:p w:rsidR="00B96975" w:rsidRDefault="009445D6" w:rsidP="009445D6">
      <w:pPr>
        <w:rPr>
          <w:rFonts w:ascii="Times New Roman" w:hAnsi="Times New Roman" w:cs="Times New Roman"/>
          <w:sz w:val="24"/>
          <w:szCs w:val="24"/>
        </w:rPr>
      </w:pPr>
      <w:r w:rsidRPr="009445D6">
        <w:rPr>
          <w:rFonts w:ascii="Times New Roman" w:hAnsi="Times New Roman" w:cs="Times New Roman"/>
          <w:sz w:val="24"/>
          <w:szCs w:val="24"/>
        </w:rPr>
        <w:t>Všechny podstatné informace týkající se řízení kapitálu již byly zmíněny v předchozích odstavcích.</w:t>
      </w:r>
    </w:p>
    <w:p w:rsidR="00C45B76" w:rsidRPr="00EC20BB" w:rsidRDefault="00C45B76" w:rsidP="00EC20BB">
      <w:pPr>
        <w:pStyle w:val="Odstavecseseznamem"/>
        <w:numPr>
          <w:ilvl w:val="0"/>
          <w:numId w:val="2"/>
        </w:numPr>
        <w:rPr>
          <w:rFonts w:ascii="Times New Roman" w:hAnsi="Times New Roman" w:cs="Times New Roman"/>
          <w:b/>
          <w:sz w:val="24"/>
          <w:szCs w:val="24"/>
        </w:rPr>
      </w:pPr>
      <w:r w:rsidRPr="00EC20BB">
        <w:rPr>
          <w:rFonts w:ascii="Times New Roman" w:hAnsi="Times New Roman" w:cs="Times New Roman"/>
          <w:b/>
          <w:sz w:val="24"/>
          <w:szCs w:val="24"/>
        </w:rPr>
        <w:t>Přílohy</w:t>
      </w:r>
      <w:r w:rsidR="003F4A6C" w:rsidRPr="00EC20BB">
        <w:rPr>
          <w:rFonts w:ascii="Times New Roman" w:hAnsi="Times New Roman" w:cs="Times New Roman"/>
          <w:b/>
          <w:sz w:val="24"/>
          <w:szCs w:val="24"/>
        </w:rPr>
        <w:t xml:space="preserve"> č.:</w:t>
      </w:r>
    </w:p>
    <w:p w:rsidR="00C45B76" w:rsidRDefault="00D1794E" w:rsidP="003F4A6C">
      <w:pPr>
        <w:numPr>
          <w:ilvl w:val="0"/>
          <w:numId w:val="19"/>
        </w:numPr>
        <w:contextualSpacing/>
        <w:rPr>
          <w:rFonts w:ascii="Times New Roman" w:hAnsi="Times New Roman" w:cs="Times New Roman"/>
          <w:sz w:val="24"/>
          <w:szCs w:val="24"/>
        </w:rPr>
      </w:pPr>
      <w:r>
        <w:rPr>
          <w:rFonts w:ascii="Times New Roman" w:hAnsi="Times New Roman" w:cs="Times New Roman"/>
          <w:sz w:val="24"/>
          <w:szCs w:val="24"/>
        </w:rPr>
        <w:t>Obchodní a finanční plán na období</w:t>
      </w:r>
      <w:r w:rsidR="00C45B76">
        <w:rPr>
          <w:rFonts w:ascii="Times New Roman" w:hAnsi="Times New Roman" w:cs="Times New Roman"/>
          <w:sz w:val="24"/>
          <w:szCs w:val="24"/>
        </w:rPr>
        <w:t xml:space="preserve"> 2017</w:t>
      </w:r>
      <w:r>
        <w:rPr>
          <w:rFonts w:ascii="Times New Roman" w:hAnsi="Times New Roman" w:cs="Times New Roman"/>
          <w:sz w:val="24"/>
          <w:szCs w:val="24"/>
        </w:rPr>
        <w:t xml:space="preserve"> - 2019</w:t>
      </w:r>
    </w:p>
    <w:bookmarkStart w:id="17" w:name="_MON_1558425912"/>
    <w:bookmarkEnd w:id="17"/>
    <w:p w:rsidR="00D1794E" w:rsidRPr="00C45B76" w:rsidRDefault="00D1794E" w:rsidP="00D1794E">
      <w:pPr>
        <w:ind w:left="720"/>
        <w:contextualSpacing/>
        <w:rPr>
          <w:rFonts w:ascii="Times New Roman" w:hAnsi="Times New Roman" w:cs="Times New Roman"/>
          <w:sz w:val="24"/>
          <w:szCs w:val="24"/>
        </w:rPr>
      </w:pPr>
      <w:r>
        <w:rPr>
          <w:rFonts w:ascii="Times New Roman" w:hAnsi="Times New Roman" w:cs="Times New Roman"/>
          <w:sz w:val="24"/>
          <w:szCs w:val="24"/>
        </w:rP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6pt;height:49.55pt" o:ole="">
            <v:imagedata r:id="rId15" o:title=""/>
          </v:shape>
          <o:OLEObject Type="Embed" ProgID="Excel.Sheet.12" ShapeID="_x0000_i1025" DrawAspect="Icon" ObjectID="_1559023164" r:id="rId16"/>
        </w:object>
      </w:r>
    </w:p>
    <w:p w:rsidR="00C45B76" w:rsidRPr="00C45B76" w:rsidRDefault="00C45B76" w:rsidP="003F4A6C">
      <w:pPr>
        <w:numPr>
          <w:ilvl w:val="0"/>
          <w:numId w:val="19"/>
        </w:numPr>
        <w:contextualSpacing/>
        <w:rPr>
          <w:rFonts w:ascii="Times New Roman" w:hAnsi="Times New Roman" w:cs="Times New Roman"/>
          <w:sz w:val="24"/>
          <w:szCs w:val="24"/>
        </w:rPr>
      </w:pPr>
      <w:r w:rsidRPr="00C45B76">
        <w:rPr>
          <w:rFonts w:ascii="Times New Roman" w:hAnsi="Times New Roman" w:cs="Times New Roman"/>
          <w:sz w:val="24"/>
          <w:szCs w:val="24"/>
        </w:rPr>
        <w:t>Zpráva compliance funkce za rok 2016</w:t>
      </w:r>
      <w:r w:rsidR="00BF7378">
        <w:rPr>
          <w:rFonts w:ascii="Times New Roman" w:hAnsi="Times New Roman" w:cs="Times New Roman"/>
          <w:sz w:val="24"/>
          <w:szCs w:val="24"/>
        </w:rPr>
        <w:t xml:space="preserve"> </w:t>
      </w:r>
      <w:r w:rsidR="00BF7378">
        <w:rPr>
          <w:rFonts w:ascii="Times New Roman" w:hAnsi="Times New Roman" w:cs="Times New Roman"/>
          <w:sz w:val="24"/>
          <w:szCs w:val="24"/>
        </w:rPr>
        <w:br/>
      </w:r>
      <w:bookmarkStart w:id="18" w:name="_MON_1558262400"/>
      <w:bookmarkEnd w:id="18"/>
      <w:r w:rsidR="00BF7378">
        <w:object w:dxaOrig="1543" w:dyaOrig="991">
          <v:shape id="_x0000_i1026" type="#_x0000_t75" style="width:77.6pt;height:49.55pt" o:ole="">
            <v:imagedata r:id="rId17" o:title=""/>
          </v:shape>
          <o:OLEObject Type="Embed" ProgID="Word.Document.12" ShapeID="_x0000_i1026" DrawAspect="Icon" ObjectID="_1559023165" r:id="rId18">
            <o:FieldCodes>\s</o:FieldCodes>
          </o:OLEObject>
        </w:object>
      </w:r>
    </w:p>
    <w:p w:rsidR="00EC20BB" w:rsidRPr="00EC20BB" w:rsidRDefault="00C45B76" w:rsidP="00EC20BB">
      <w:pPr>
        <w:numPr>
          <w:ilvl w:val="0"/>
          <w:numId w:val="19"/>
        </w:numPr>
        <w:contextualSpacing/>
        <w:rPr>
          <w:rFonts w:ascii="Times New Roman" w:hAnsi="Times New Roman" w:cs="Times New Roman"/>
          <w:sz w:val="24"/>
          <w:szCs w:val="24"/>
        </w:rPr>
      </w:pPr>
      <w:r w:rsidRPr="00EC20BB">
        <w:rPr>
          <w:rFonts w:ascii="Times New Roman" w:hAnsi="Times New Roman" w:cs="Times New Roman"/>
          <w:sz w:val="24"/>
          <w:szCs w:val="24"/>
        </w:rPr>
        <w:t>Zpráva fun</w:t>
      </w:r>
      <w:r w:rsidR="00EC20BB" w:rsidRPr="00EC20BB">
        <w:rPr>
          <w:rFonts w:ascii="Times New Roman" w:hAnsi="Times New Roman" w:cs="Times New Roman"/>
          <w:sz w:val="24"/>
          <w:szCs w:val="24"/>
        </w:rPr>
        <w:t>kce interního auditu za rok 2016</w:t>
      </w:r>
    </w:p>
    <w:p w:rsidR="008546FE" w:rsidRDefault="008546FE" w:rsidP="008546FE">
      <w:pPr>
        <w:ind w:left="720"/>
        <w:contextualSpacing/>
        <w:rPr>
          <w:rFonts w:ascii="Times New Roman" w:hAnsi="Times New Roman" w:cs="Times New Roman"/>
          <w:sz w:val="24"/>
          <w:szCs w:val="24"/>
        </w:rPr>
      </w:pPr>
      <w:r>
        <w:rPr>
          <w:rFonts w:ascii="Times New Roman" w:hAnsi="Times New Roman" w:cs="Times New Roman"/>
          <w:sz w:val="24"/>
          <w:szCs w:val="24"/>
        </w:rPr>
        <w:object w:dxaOrig="1543" w:dyaOrig="991">
          <v:shape id="_x0000_i1027" type="#_x0000_t75" style="width:77.6pt;height:49.55pt" o:ole="">
            <v:imagedata r:id="rId19" o:title=""/>
          </v:shape>
          <o:OLEObject Type="Embed" ProgID="Package" ShapeID="_x0000_i1027" DrawAspect="Icon" ObjectID="_1559023166" r:id="rId20"/>
        </w:object>
      </w:r>
    </w:p>
    <w:p w:rsidR="00EC20BB" w:rsidRDefault="00EC20BB" w:rsidP="00EC20BB">
      <w:pPr>
        <w:numPr>
          <w:ilvl w:val="0"/>
          <w:numId w:val="19"/>
        </w:numPr>
        <w:contextualSpacing/>
        <w:rPr>
          <w:rFonts w:ascii="Times New Roman" w:hAnsi="Times New Roman" w:cs="Times New Roman"/>
          <w:sz w:val="24"/>
          <w:szCs w:val="24"/>
        </w:rPr>
      </w:pPr>
      <w:r>
        <w:rPr>
          <w:rFonts w:ascii="Times New Roman" w:hAnsi="Times New Roman" w:cs="Times New Roman"/>
          <w:sz w:val="24"/>
          <w:szCs w:val="24"/>
        </w:rPr>
        <w:t>Kvantitavivní šablony</w:t>
      </w:r>
    </w:p>
    <w:p w:rsidR="00EC20BB" w:rsidRPr="00C45B76" w:rsidRDefault="00EC20BB" w:rsidP="00EC20BB">
      <w:pPr>
        <w:ind w:left="720"/>
        <w:contextualSpacing/>
        <w:rPr>
          <w:rFonts w:ascii="Times New Roman" w:hAnsi="Times New Roman" w:cs="Times New Roman"/>
          <w:sz w:val="24"/>
          <w:szCs w:val="24"/>
        </w:rPr>
      </w:pPr>
    </w:p>
    <w:p w:rsidR="00C45B76" w:rsidRDefault="00EC20BB" w:rsidP="009445D6">
      <w:pPr>
        <w:rPr>
          <w:rFonts w:ascii="Times New Roman" w:hAnsi="Times New Roman" w:cs="Times New Roman"/>
          <w:sz w:val="24"/>
          <w:szCs w:val="24"/>
        </w:rPr>
      </w:pPr>
      <w:r>
        <w:rPr>
          <w:rFonts w:ascii="Times New Roman" w:hAnsi="Times New Roman" w:cs="Times New Roman"/>
          <w:sz w:val="24"/>
          <w:szCs w:val="24"/>
        </w:rPr>
        <w:object w:dxaOrig="1543" w:dyaOrig="991">
          <v:shape id="_x0000_i1028" type="#_x0000_t75" style="width:77.6pt;height:49.55pt" o:ole="">
            <v:imagedata r:id="rId21" o:title=""/>
          </v:shape>
          <o:OLEObject Type="Embed" ProgID="Excel.Sheet.8" ShapeID="_x0000_i1028" DrawAspect="Icon" ObjectID="_1559023167" r:id="rId22"/>
        </w:object>
      </w:r>
      <w:r>
        <w:rPr>
          <w:rFonts w:ascii="Times New Roman" w:hAnsi="Times New Roman" w:cs="Times New Roman"/>
          <w:sz w:val="24"/>
          <w:szCs w:val="24"/>
        </w:rPr>
        <w:object w:dxaOrig="1543" w:dyaOrig="991">
          <v:shape id="_x0000_i1029" type="#_x0000_t75" style="width:77.6pt;height:49.55pt" o:ole="">
            <v:imagedata r:id="rId23" o:title=""/>
          </v:shape>
          <o:OLEObject Type="Embed" ProgID="Excel.Sheet.8" ShapeID="_x0000_i1029" DrawAspect="Icon" ObjectID="_1559023168" r:id="rId24"/>
        </w:object>
      </w:r>
      <w:r>
        <w:rPr>
          <w:rFonts w:ascii="Times New Roman" w:hAnsi="Times New Roman" w:cs="Times New Roman"/>
          <w:sz w:val="24"/>
          <w:szCs w:val="24"/>
        </w:rPr>
        <w:object w:dxaOrig="1543" w:dyaOrig="991">
          <v:shape id="_x0000_i1030" type="#_x0000_t75" style="width:77.6pt;height:49.55pt" o:ole="">
            <v:imagedata r:id="rId25" o:title=""/>
          </v:shape>
          <o:OLEObject Type="Embed" ProgID="Excel.Sheet.8" ShapeID="_x0000_i1030" DrawAspect="Icon" ObjectID="_1559023169" r:id="rId26"/>
        </w:object>
      </w:r>
      <w:r>
        <w:rPr>
          <w:rFonts w:ascii="Times New Roman" w:hAnsi="Times New Roman" w:cs="Times New Roman"/>
          <w:sz w:val="24"/>
          <w:szCs w:val="24"/>
        </w:rPr>
        <w:object w:dxaOrig="1543" w:dyaOrig="991">
          <v:shape id="_x0000_i1031" type="#_x0000_t75" style="width:77.6pt;height:49.55pt" o:ole="">
            <v:imagedata r:id="rId27" o:title=""/>
          </v:shape>
          <o:OLEObject Type="Embed" ProgID="Excel.Sheet.8" ShapeID="_x0000_i1031" DrawAspect="Icon" ObjectID="_1559023170" r:id="rId28"/>
        </w:object>
      </w:r>
    </w:p>
    <w:p w:rsidR="003F4A6C" w:rsidRDefault="003F4A6C" w:rsidP="009445D6">
      <w:pPr>
        <w:rPr>
          <w:rFonts w:ascii="Times New Roman" w:hAnsi="Times New Roman" w:cs="Times New Roman"/>
          <w:sz w:val="24"/>
          <w:szCs w:val="24"/>
        </w:rPr>
      </w:pPr>
    </w:p>
    <w:p w:rsidR="00D1794E" w:rsidRDefault="00D1794E" w:rsidP="009445D6">
      <w:pPr>
        <w:rPr>
          <w:rFonts w:ascii="Times New Roman" w:hAnsi="Times New Roman" w:cs="Times New Roman"/>
          <w:sz w:val="24"/>
          <w:szCs w:val="24"/>
        </w:rPr>
      </w:pPr>
    </w:p>
    <w:p w:rsidR="00D1794E" w:rsidRDefault="00D1794E" w:rsidP="009445D6">
      <w:pPr>
        <w:rPr>
          <w:rFonts w:ascii="Times New Roman" w:hAnsi="Times New Roman" w:cs="Times New Roman"/>
          <w:sz w:val="24"/>
          <w:szCs w:val="24"/>
        </w:rPr>
      </w:pPr>
    </w:p>
    <w:p w:rsidR="00D1794E" w:rsidRDefault="00D1794E">
      <w:pPr>
        <w:rPr>
          <w:rFonts w:ascii="Times New Roman" w:hAnsi="Times New Roman" w:cs="Times New Roman"/>
          <w:sz w:val="24"/>
          <w:szCs w:val="24"/>
        </w:rPr>
      </w:pPr>
      <w:r>
        <w:rPr>
          <w:rFonts w:ascii="Times New Roman" w:hAnsi="Times New Roman" w:cs="Times New Roman"/>
          <w:sz w:val="24"/>
          <w:szCs w:val="24"/>
        </w:rPr>
        <w:br w:type="page"/>
      </w:r>
    </w:p>
    <w:p w:rsidR="003F4A6C" w:rsidRDefault="003F4A6C" w:rsidP="009445D6">
      <w:pPr>
        <w:rPr>
          <w:rFonts w:ascii="Times New Roman" w:hAnsi="Times New Roman" w:cs="Times New Roman"/>
          <w:sz w:val="24"/>
          <w:szCs w:val="24"/>
        </w:rPr>
      </w:pPr>
    </w:p>
    <w:p w:rsidR="003F4A6C" w:rsidRDefault="003F4A6C" w:rsidP="009445D6">
      <w:pPr>
        <w:rPr>
          <w:rFonts w:ascii="Times New Roman" w:hAnsi="Times New Roman" w:cs="Times New Roman"/>
          <w:sz w:val="24"/>
          <w:szCs w:val="24"/>
        </w:rPr>
      </w:pPr>
      <w:r>
        <w:rPr>
          <w:rFonts w:ascii="Times New Roman" w:hAnsi="Times New Roman" w:cs="Times New Roman"/>
          <w:sz w:val="24"/>
          <w:szCs w:val="24"/>
        </w:rPr>
        <w:t>Příloha č. 2</w:t>
      </w:r>
    </w:p>
    <w:p w:rsidR="003F4A6C" w:rsidRPr="005B122E" w:rsidRDefault="003F4A6C" w:rsidP="003F4A6C">
      <w:pPr>
        <w:jc w:val="center"/>
        <w:rPr>
          <w:b/>
          <w:sz w:val="32"/>
          <w:szCs w:val="32"/>
        </w:rPr>
      </w:pPr>
      <w:r>
        <w:rPr>
          <w:b/>
          <w:sz w:val="32"/>
          <w:szCs w:val="32"/>
        </w:rPr>
        <w:t>Compliance zpráva 2016</w:t>
      </w:r>
    </w:p>
    <w:p w:rsidR="003F4A6C" w:rsidRDefault="003F4A6C" w:rsidP="003F4A6C">
      <w:pPr>
        <w:spacing w:after="0"/>
        <w:jc w:val="both"/>
      </w:pPr>
    </w:p>
    <w:p w:rsidR="003F4A6C" w:rsidRDefault="003F4A6C" w:rsidP="003F4A6C">
      <w:pPr>
        <w:spacing w:after="0"/>
        <w:jc w:val="both"/>
      </w:pPr>
      <w:r>
        <w:t>V průběhu r. 2016 byl završen několikaletý proces (od r. 2013) přechodu na nový regulatorní rámec pojišťovnictví dle legislativy EU - režim Solvency II.</w:t>
      </w:r>
    </w:p>
    <w:p w:rsidR="003F4A6C" w:rsidRDefault="003F4A6C" w:rsidP="003F4A6C">
      <w:pPr>
        <w:spacing w:after="0"/>
        <w:jc w:val="both"/>
      </w:pPr>
      <w:r>
        <w:t xml:space="preserve">Servisní pojišťovna a.s., se v procesu zavádění Solvency II řídila pokyny ČNB a plnila požadavky ČNB v souladu s Časovou mapou požadavků vyplývajících z obecných pokynů aplikovanou ČNB. Solvency II vstoupila v platnost v souladu s účinností novely zák. č. 277/2009 Sb., o pojišťovnictví, ke dni 23. 9. 2016. </w:t>
      </w:r>
    </w:p>
    <w:p w:rsidR="003F4A6C" w:rsidRDefault="003F4A6C" w:rsidP="003F4A6C">
      <w:pPr>
        <w:spacing w:after="0"/>
        <w:jc w:val="both"/>
      </w:pPr>
      <w:r>
        <w:t>V průběhu r. 2016 byl v souladu s požadavky Solvency II aktualizován Řídící a kontrolní systém.</w:t>
      </w:r>
    </w:p>
    <w:p w:rsidR="003F4A6C" w:rsidRDefault="003F4A6C" w:rsidP="003F4A6C">
      <w:pPr>
        <w:spacing w:after="0"/>
        <w:jc w:val="both"/>
      </w:pPr>
      <w:r>
        <w:t>Řídící a kontrolní systém, zahrnující soubor interních předpisů, lze hodnotit jako funkční systém odpovídající právním předpisům ČR, a vzhledem k velikosti pojišťovny jako systém postačující potřebám pojišťovny.</w:t>
      </w:r>
    </w:p>
    <w:p w:rsidR="003F4A6C" w:rsidRDefault="003F4A6C" w:rsidP="003F4A6C">
      <w:pPr>
        <w:spacing w:after="0"/>
        <w:jc w:val="both"/>
      </w:pPr>
      <w:r>
        <w:t>Na konci r. 2016 byla přijata novela zák. č. 89/2012 Sb., občanský zákoník; která se Servisní pojišťovny a.s. významně nedotýká.</w:t>
      </w:r>
    </w:p>
    <w:p w:rsidR="003F4A6C" w:rsidRDefault="003F4A6C" w:rsidP="003F4A6C">
      <w:pPr>
        <w:spacing w:after="0"/>
        <w:jc w:val="both"/>
      </w:pPr>
      <w:r>
        <w:t xml:space="preserve">Ke dni 1. 7. 2017 vstoupí v platnost zák. č. 340/2015 Sb., o </w:t>
      </w:r>
      <w:r w:rsidRPr="00095291">
        <w:t>zvláštních podmínkách účinnosti některých smluv, uveřejňování těchto smluv a o registru smluv (zákon o registru smluv)</w:t>
      </w:r>
      <w:r>
        <w:t>. Ačkoliv</w:t>
      </w:r>
      <w:r w:rsidRPr="00095291">
        <w:t xml:space="preserve"> </w:t>
      </w:r>
      <w:r>
        <w:t xml:space="preserve">Servisní pojišťovna a.s., dle tohoto zákona není povinným subjektem, musí být obezřetná v případech, kdy druhá strana smlouvy mezi povinné subjekty patří (např. státní a veřejnoprávní instituce, územní samosprávné celky, státní podniky, ale také tzv. ovládané právnické osoby s většinovou majetkovou účastí státu nebo územně samosprávného celku). </w:t>
      </w:r>
    </w:p>
    <w:p w:rsidR="003F4A6C" w:rsidRDefault="003F4A6C" w:rsidP="003F4A6C">
      <w:pPr>
        <w:spacing w:after="0"/>
        <w:jc w:val="both"/>
      </w:pPr>
      <w:r>
        <w:t xml:space="preserve">V následujícím roce, ke dni 25. 5. 2018, vstoupí v platnost nový regulatorní rámec ochrany osobních údajů dle legislativy EU – Obecné nařízení na ochranu osobních údajů, které </w:t>
      </w:r>
      <w:r w:rsidRPr="00E30921">
        <w:t>nahradí současnou právní úpravu ochrany osobních údajů v podobě směrnice 95/46/ES a související</w:t>
      </w:r>
      <w:r>
        <w:t>ho</w:t>
      </w:r>
      <w:r w:rsidRPr="00E30921">
        <w:t xml:space="preserve"> zákon</w:t>
      </w:r>
      <w:r>
        <w:t>a</w:t>
      </w:r>
      <w:r w:rsidRPr="00E30921">
        <w:t xml:space="preserve"> č.</w:t>
      </w:r>
      <w:r>
        <w:t> </w:t>
      </w:r>
      <w:r w:rsidRPr="00E30921">
        <w:t>101/2000 Sb., o ochraně osobních údajů</w:t>
      </w:r>
      <w:r>
        <w:t xml:space="preserve">. V současné době probíhá přípravné období, pro Servisní pojišťovnu a.s., toto znamená přizpůsobit během přípravného období své procesy této nové právní normě.    </w:t>
      </w:r>
    </w:p>
    <w:p w:rsidR="003F4A6C" w:rsidRDefault="003F4A6C" w:rsidP="003F4A6C">
      <w:pPr>
        <w:spacing w:after="0"/>
        <w:jc w:val="both"/>
      </w:pPr>
      <w:r>
        <w:t xml:space="preserve">    </w:t>
      </w:r>
    </w:p>
    <w:p w:rsidR="003F4A6C" w:rsidRDefault="003F4A6C" w:rsidP="003F4A6C">
      <w:pPr>
        <w:spacing w:after="0"/>
        <w:jc w:val="both"/>
      </w:pPr>
    </w:p>
    <w:p w:rsidR="003F4A6C" w:rsidRDefault="003F4A6C" w:rsidP="003F4A6C">
      <w:pPr>
        <w:spacing w:after="0"/>
        <w:jc w:val="both"/>
      </w:pPr>
      <w:r>
        <w:t>Ve Zlíně dne   03.05. 2017</w:t>
      </w:r>
    </w:p>
    <w:p w:rsidR="003F4A6C" w:rsidRDefault="003F4A6C" w:rsidP="003F4A6C">
      <w:pPr>
        <w:spacing w:after="0"/>
        <w:jc w:val="both"/>
      </w:pPr>
    </w:p>
    <w:p w:rsidR="003F4A6C" w:rsidRDefault="003F4A6C" w:rsidP="003F4A6C">
      <w:pPr>
        <w:spacing w:after="0"/>
        <w:jc w:val="both"/>
      </w:pPr>
      <w:r>
        <w:t>Mgr. Helena Machálková</w:t>
      </w:r>
    </w:p>
    <w:p w:rsidR="003F4A6C" w:rsidRDefault="003F4A6C" w:rsidP="003F4A6C">
      <w:pPr>
        <w:spacing w:after="0"/>
        <w:jc w:val="both"/>
      </w:pPr>
      <w:r>
        <w:t>compliance manažer</w:t>
      </w:r>
    </w:p>
    <w:p w:rsidR="003F4A6C" w:rsidRDefault="003F4A6C" w:rsidP="009445D6">
      <w:pPr>
        <w:rPr>
          <w:rFonts w:ascii="Times New Roman" w:hAnsi="Times New Roman" w:cs="Times New Roman"/>
          <w:sz w:val="24"/>
          <w:szCs w:val="24"/>
        </w:rPr>
      </w:pPr>
    </w:p>
    <w:p w:rsidR="00D1794E" w:rsidRDefault="00D1794E" w:rsidP="009445D6">
      <w:pPr>
        <w:rPr>
          <w:rFonts w:ascii="Times New Roman" w:hAnsi="Times New Roman" w:cs="Times New Roman"/>
          <w:sz w:val="24"/>
          <w:szCs w:val="24"/>
        </w:rPr>
      </w:pPr>
    </w:p>
    <w:p w:rsidR="00D1794E" w:rsidRDefault="00D1794E" w:rsidP="009445D6">
      <w:pPr>
        <w:rPr>
          <w:rFonts w:ascii="Times New Roman" w:hAnsi="Times New Roman" w:cs="Times New Roman"/>
          <w:sz w:val="24"/>
          <w:szCs w:val="24"/>
        </w:rPr>
      </w:pPr>
    </w:p>
    <w:p w:rsidR="00D1794E" w:rsidRDefault="00D1794E">
      <w:pPr>
        <w:rPr>
          <w:rFonts w:ascii="Times New Roman" w:hAnsi="Times New Roman" w:cs="Times New Roman"/>
          <w:sz w:val="24"/>
          <w:szCs w:val="24"/>
        </w:rPr>
      </w:pPr>
      <w:r>
        <w:rPr>
          <w:rFonts w:ascii="Times New Roman" w:hAnsi="Times New Roman" w:cs="Times New Roman"/>
          <w:sz w:val="24"/>
          <w:szCs w:val="24"/>
        </w:rPr>
        <w:br w:type="page"/>
      </w:r>
    </w:p>
    <w:p w:rsidR="003F4A6C" w:rsidRDefault="003F4A6C" w:rsidP="009445D6">
      <w:pPr>
        <w:rPr>
          <w:rFonts w:ascii="Times New Roman" w:hAnsi="Times New Roman" w:cs="Times New Roman"/>
          <w:sz w:val="24"/>
          <w:szCs w:val="24"/>
        </w:rPr>
      </w:pPr>
      <w:r>
        <w:rPr>
          <w:rFonts w:ascii="Times New Roman" w:hAnsi="Times New Roman" w:cs="Times New Roman"/>
          <w:sz w:val="24"/>
          <w:szCs w:val="24"/>
        </w:rPr>
        <w:t>Příloha č. 3</w:t>
      </w:r>
    </w:p>
    <w:p w:rsidR="003F4A6C" w:rsidRPr="00F21DC8" w:rsidRDefault="003F4A6C" w:rsidP="003F4A6C">
      <w:pPr>
        <w:pStyle w:val="Seznam"/>
        <w:tabs>
          <w:tab w:val="left" w:pos="709"/>
        </w:tabs>
        <w:spacing w:before="0" w:after="0" w:line="240" w:lineRule="auto"/>
        <w:ind w:left="454" w:hanging="454"/>
        <w:jc w:val="center"/>
        <w:rPr>
          <w:rFonts w:asciiTheme="minorHAnsi" w:hAnsiTheme="minorHAnsi" w:cstheme="minorHAnsi"/>
          <w:b/>
          <w:sz w:val="36"/>
          <w:szCs w:val="22"/>
        </w:rPr>
      </w:pPr>
      <w:r w:rsidRPr="00F21DC8">
        <w:rPr>
          <w:rFonts w:asciiTheme="minorHAnsi" w:hAnsiTheme="minorHAnsi" w:cstheme="minorHAnsi"/>
          <w:b/>
          <w:sz w:val="36"/>
          <w:szCs w:val="22"/>
        </w:rPr>
        <w:t>Zpráva interního auditora za rok 2016</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Pr="006D7809" w:rsidRDefault="003F4A6C" w:rsidP="003F4A6C">
      <w:pPr>
        <w:pStyle w:val="Seznam"/>
        <w:tabs>
          <w:tab w:val="left" w:pos="709"/>
        </w:tabs>
        <w:spacing w:before="0" w:after="0" w:line="240" w:lineRule="auto"/>
        <w:rPr>
          <w:rFonts w:asciiTheme="minorHAnsi" w:hAnsiTheme="minorHAnsi" w:cstheme="minorHAnsi"/>
          <w:b/>
          <w:sz w:val="32"/>
          <w:szCs w:val="22"/>
        </w:rPr>
      </w:pPr>
      <w:r w:rsidRPr="006D7809">
        <w:rPr>
          <w:rFonts w:asciiTheme="minorHAnsi" w:hAnsiTheme="minorHAnsi" w:cstheme="minorHAnsi"/>
          <w:b/>
          <w:sz w:val="32"/>
          <w:szCs w:val="22"/>
        </w:rPr>
        <w:t>Obsah</w:t>
      </w:r>
    </w:p>
    <w:p w:rsidR="003F4A6C" w:rsidRDefault="003F4A6C" w:rsidP="003F4A6C">
      <w:pPr>
        <w:pStyle w:val="Seznam"/>
        <w:numPr>
          <w:ilvl w:val="0"/>
          <w:numId w:val="22"/>
        </w:numPr>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Úvod</w:t>
      </w:r>
    </w:p>
    <w:p w:rsidR="003F4A6C" w:rsidRDefault="003F4A6C" w:rsidP="003F4A6C">
      <w:pPr>
        <w:pStyle w:val="Seznam"/>
        <w:numPr>
          <w:ilvl w:val="0"/>
          <w:numId w:val="22"/>
        </w:numPr>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Předmět interního auditu</w:t>
      </w:r>
    </w:p>
    <w:p w:rsidR="003F4A6C" w:rsidRDefault="003F4A6C" w:rsidP="003F4A6C">
      <w:pPr>
        <w:pStyle w:val="Seznam"/>
        <w:numPr>
          <w:ilvl w:val="0"/>
          <w:numId w:val="22"/>
        </w:numPr>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Zjištění z vykonaného auditu</w:t>
      </w:r>
    </w:p>
    <w:p w:rsidR="003F4A6C" w:rsidRDefault="003F4A6C" w:rsidP="003F4A6C">
      <w:pPr>
        <w:pStyle w:val="Seznam"/>
        <w:numPr>
          <w:ilvl w:val="0"/>
          <w:numId w:val="22"/>
        </w:numPr>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Doporučení</w:t>
      </w:r>
    </w:p>
    <w:p w:rsidR="003F4A6C" w:rsidRDefault="003F4A6C" w:rsidP="003F4A6C">
      <w:pPr>
        <w:pStyle w:val="Seznam"/>
        <w:numPr>
          <w:ilvl w:val="0"/>
          <w:numId w:val="22"/>
        </w:numPr>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Závěry</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Pr="0012484B" w:rsidRDefault="003F4A6C" w:rsidP="003F4A6C">
      <w:pPr>
        <w:pStyle w:val="Seznam"/>
        <w:numPr>
          <w:ilvl w:val="0"/>
          <w:numId w:val="20"/>
        </w:numPr>
        <w:spacing w:before="0" w:after="0" w:line="240" w:lineRule="auto"/>
        <w:ind w:left="567" w:hanging="567"/>
        <w:rPr>
          <w:rFonts w:asciiTheme="minorHAnsi" w:hAnsiTheme="minorHAnsi" w:cstheme="minorHAnsi"/>
          <w:b/>
          <w:sz w:val="32"/>
          <w:szCs w:val="32"/>
        </w:rPr>
      </w:pPr>
      <w:r w:rsidRPr="0012484B">
        <w:rPr>
          <w:rFonts w:asciiTheme="minorHAnsi" w:hAnsiTheme="minorHAnsi" w:cstheme="minorHAnsi"/>
          <w:b/>
          <w:sz w:val="32"/>
          <w:szCs w:val="32"/>
        </w:rPr>
        <w:t>Úvod</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 xml:space="preserve">Na základě pověření výkonem funkce vnitřního auditu byl proveden </w:t>
      </w:r>
      <w:r w:rsidRPr="0055368C">
        <w:rPr>
          <w:rFonts w:asciiTheme="minorHAnsi" w:hAnsiTheme="minorHAnsi" w:cstheme="minorHAnsi"/>
          <w:b/>
          <w:szCs w:val="22"/>
        </w:rPr>
        <w:t xml:space="preserve">interní audit </w:t>
      </w:r>
      <w:r>
        <w:rPr>
          <w:rFonts w:asciiTheme="minorHAnsi" w:hAnsiTheme="minorHAnsi" w:cstheme="minorHAnsi"/>
          <w:b/>
          <w:szCs w:val="22"/>
        </w:rPr>
        <w:t>Servisní pojišťovny a</w:t>
      </w:r>
      <w:r w:rsidRPr="0055368C">
        <w:rPr>
          <w:rFonts w:asciiTheme="minorHAnsi" w:hAnsiTheme="minorHAnsi" w:cstheme="minorHAnsi"/>
          <w:b/>
          <w:szCs w:val="22"/>
        </w:rPr>
        <w:t>.s.</w:t>
      </w:r>
      <w:r>
        <w:rPr>
          <w:rFonts w:asciiTheme="minorHAnsi" w:hAnsiTheme="minorHAnsi" w:cstheme="minorHAnsi"/>
          <w:b/>
          <w:szCs w:val="22"/>
        </w:rPr>
        <w:t xml:space="preserve">. </w:t>
      </w:r>
      <w:r w:rsidRPr="007D1911">
        <w:rPr>
          <w:rFonts w:asciiTheme="minorHAnsi" w:hAnsiTheme="minorHAnsi" w:cstheme="minorHAnsi"/>
          <w:szCs w:val="22"/>
        </w:rPr>
        <w:t>I</w:t>
      </w:r>
      <w:r>
        <w:rPr>
          <w:rFonts w:asciiTheme="minorHAnsi" w:hAnsiTheme="minorHAnsi" w:cstheme="minorHAnsi"/>
          <w:szCs w:val="22"/>
        </w:rPr>
        <w:t xml:space="preserve">nterní audit byl zaměřen především na zmapování činností </w:t>
      </w:r>
      <w:r>
        <w:rPr>
          <w:rFonts w:asciiTheme="minorHAnsi" w:hAnsiTheme="minorHAnsi" w:cstheme="minorHAnsi"/>
          <w:szCs w:val="22"/>
        </w:rPr>
        <w:br/>
        <w:t>a kontrolního prostředí pojišťovny jak jej definuje vnitřní předpis SOL 5 Vnitřní řídící a kontrolní systém (dále také „VŘKS“). Následně byly vybrány rizikové oblasti pro bližší ověření interním auditorem.</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Pr="0012484B" w:rsidRDefault="003F4A6C" w:rsidP="003F4A6C">
      <w:pPr>
        <w:pStyle w:val="Seznam"/>
        <w:numPr>
          <w:ilvl w:val="0"/>
          <w:numId w:val="20"/>
        </w:numPr>
        <w:spacing w:before="0" w:after="0" w:line="240" w:lineRule="auto"/>
        <w:ind w:left="567" w:hanging="567"/>
        <w:rPr>
          <w:rFonts w:asciiTheme="minorHAnsi" w:hAnsiTheme="minorHAnsi" w:cstheme="minorHAnsi"/>
          <w:b/>
          <w:sz w:val="32"/>
          <w:szCs w:val="32"/>
        </w:rPr>
      </w:pPr>
      <w:r w:rsidRPr="0012484B">
        <w:rPr>
          <w:rFonts w:asciiTheme="minorHAnsi" w:hAnsiTheme="minorHAnsi" w:cstheme="minorHAnsi"/>
          <w:b/>
          <w:sz w:val="32"/>
          <w:szCs w:val="32"/>
        </w:rPr>
        <w:t>Předmět interního auditu</w:t>
      </w:r>
    </w:p>
    <w:p w:rsidR="003F4A6C" w:rsidRPr="0055368C" w:rsidRDefault="003F4A6C" w:rsidP="003F4A6C">
      <w:pPr>
        <w:pStyle w:val="Seznam"/>
        <w:tabs>
          <w:tab w:val="left" w:pos="709"/>
        </w:tabs>
        <w:spacing w:before="0" w:after="0" w:line="240" w:lineRule="auto"/>
        <w:rPr>
          <w:rFonts w:asciiTheme="minorHAnsi" w:hAnsiTheme="minorHAnsi" w:cstheme="minorHAnsi"/>
          <w:b/>
          <w:szCs w:val="22"/>
        </w:rPr>
      </w:pPr>
    </w:p>
    <w:p w:rsidR="003F4A6C" w:rsidRPr="007D1911" w:rsidRDefault="003F4A6C" w:rsidP="003F4A6C">
      <w:pPr>
        <w:pStyle w:val="Seznam"/>
        <w:tabs>
          <w:tab w:val="left" w:pos="709"/>
        </w:tabs>
        <w:spacing w:before="0" w:after="0" w:line="240" w:lineRule="auto"/>
        <w:rPr>
          <w:rFonts w:asciiTheme="minorHAnsi" w:hAnsiTheme="minorHAnsi" w:cstheme="minorHAnsi"/>
          <w:szCs w:val="22"/>
        </w:rPr>
      </w:pPr>
      <w:r w:rsidRPr="007D1911">
        <w:rPr>
          <w:rFonts w:asciiTheme="minorHAnsi" w:hAnsiTheme="minorHAnsi" w:cstheme="minorHAnsi"/>
          <w:szCs w:val="22"/>
        </w:rPr>
        <w:t>Vnitřní audit ve vztahu k VŘKS především hodnotí jeho účinnost a efektivnost ve společnosti, zejména rizik spojených s řízením a správou pojišťovny, s procesy ve společnosti a informačními systémy z hlediska:</w:t>
      </w:r>
    </w:p>
    <w:p w:rsidR="003F4A6C" w:rsidRPr="007D1911" w:rsidRDefault="003F4A6C" w:rsidP="003F4A6C">
      <w:pPr>
        <w:pStyle w:val="Seznam"/>
        <w:tabs>
          <w:tab w:val="left" w:pos="709"/>
        </w:tabs>
        <w:spacing w:before="0" w:after="0" w:line="240" w:lineRule="auto"/>
        <w:rPr>
          <w:rFonts w:asciiTheme="minorHAnsi" w:hAnsiTheme="minorHAnsi" w:cstheme="minorHAnsi"/>
          <w:szCs w:val="22"/>
        </w:rPr>
      </w:pPr>
      <w:r w:rsidRPr="007D1911">
        <w:rPr>
          <w:rFonts w:asciiTheme="minorHAnsi" w:hAnsiTheme="minorHAnsi" w:cstheme="minorHAnsi"/>
          <w:szCs w:val="22"/>
        </w:rPr>
        <w:t>•</w:t>
      </w:r>
      <w:r w:rsidRPr="007D1911">
        <w:rPr>
          <w:rFonts w:asciiTheme="minorHAnsi" w:hAnsiTheme="minorHAnsi" w:cstheme="minorHAnsi"/>
          <w:szCs w:val="22"/>
        </w:rPr>
        <w:tab/>
        <w:t>spolehlivosti a integrity finančních a provozních informací;</w:t>
      </w:r>
    </w:p>
    <w:p w:rsidR="003F4A6C" w:rsidRPr="007D1911" w:rsidRDefault="003F4A6C" w:rsidP="003F4A6C">
      <w:pPr>
        <w:pStyle w:val="Seznam"/>
        <w:tabs>
          <w:tab w:val="left" w:pos="709"/>
        </w:tabs>
        <w:spacing w:before="0" w:after="0" w:line="240" w:lineRule="auto"/>
        <w:rPr>
          <w:rFonts w:asciiTheme="minorHAnsi" w:hAnsiTheme="minorHAnsi" w:cstheme="minorHAnsi"/>
          <w:szCs w:val="22"/>
        </w:rPr>
      </w:pPr>
      <w:r w:rsidRPr="007D1911">
        <w:rPr>
          <w:rFonts w:asciiTheme="minorHAnsi" w:hAnsiTheme="minorHAnsi" w:cstheme="minorHAnsi"/>
          <w:szCs w:val="22"/>
        </w:rPr>
        <w:t>•</w:t>
      </w:r>
      <w:r w:rsidRPr="007D1911">
        <w:rPr>
          <w:rFonts w:asciiTheme="minorHAnsi" w:hAnsiTheme="minorHAnsi" w:cstheme="minorHAnsi"/>
          <w:szCs w:val="22"/>
        </w:rPr>
        <w:tab/>
        <w:t>účinnosti a efektivnosti procesů;</w:t>
      </w:r>
    </w:p>
    <w:p w:rsidR="003F4A6C" w:rsidRPr="007D1911" w:rsidRDefault="003F4A6C" w:rsidP="003F4A6C">
      <w:pPr>
        <w:pStyle w:val="Seznam"/>
        <w:tabs>
          <w:tab w:val="left" w:pos="709"/>
        </w:tabs>
        <w:spacing w:before="0" w:after="0" w:line="240" w:lineRule="auto"/>
        <w:rPr>
          <w:rFonts w:asciiTheme="minorHAnsi" w:hAnsiTheme="minorHAnsi" w:cstheme="minorHAnsi"/>
          <w:szCs w:val="22"/>
        </w:rPr>
      </w:pPr>
      <w:r w:rsidRPr="007D1911">
        <w:rPr>
          <w:rFonts w:asciiTheme="minorHAnsi" w:hAnsiTheme="minorHAnsi" w:cstheme="minorHAnsi"/>
          <w:szCs w:val="22"/>
        </w:rPr>
        <w:t>•</w:t>
      </w:r>
      <w:r w:rsidRPr="007D1911">
        <w:rPr>
          <w:rFonts w:asciiTheme="minorHAnsi" w:hAnsiTheme="minorHAnsi" w:cstheme="minorHAnsi"/>
          <w:szCs w:val="22"/>
        </w:rPr>
        <w:tab/>
        <w:t>ochrany aktiv;</w:t>
      </w:r>
    </w:p>
    <w:p w:rsidR="003F4A6C" w:rsidRPr="007D1911" w:rsidRDefault="003F4A6C" w:rsidP="003F4A6C">
      <w:pPr>
        <w:pStyle w:val="Seznam"/>
        <w:tabs>
          <w:tab w:val="left" w:pos="709"/>
        </w:tabs>
        <w:spacing w:before="0" w:after="0" w:line="240" w:lineRule="auto"/>
        <w:rPr>
          <w:rFonts w:asciiTheme="minorHAnsi" w:hAnsiTheme="minorHAnsi" w:cstheme="minorHAnsi"/>
          <w:szCs w:val="22"/>
        </w:rPr>
      </w:pPr>
      <w:r w:rsidRPr="007D1911">
        <w:rPr>
          <w:rFonts w:asciiTheme="minorHAnsi" w:hAnsiTheme="minorHAnsi" w:cstheme="minorHAnsi"/>
          <w:szCs w:val="22"/>
        </w:rPr>
        <w:t>•</w:t>
      </w:r>
      <w:r w:rsidRPr="007D1911">
        <w:rPr>
          <w:rFonts w:asciiTheme="minorHAnsi" w:hAnsiTheme="minorHAnsi" w:cstheme="minorHAnsi"/>
          <w:szCs w:val="22"/>
        </w:rPr>
        <w:tab/>
        <w:t>dodržování zákonů, předpisů a smluv.</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U vybraných rizikových oblastí bylo provedeno ověření fungování a efektivnosti kontrolního systému v souladu s VŘKS. Dále bylo u vybraných oblastí provedeno detailní testování (výběr konkrétních vzorků) v souladu s Plánem interních auditů na rok 2016 schváleného představenstvem dne 3.1.2016.</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Default="003F4A6C" w:rsidP="003F4A6C">
      <w:pPr>
        <w:pStyle w:val="Seznam"/>
        <w:tabs>
          <w:tab w:val="left" w:pos="709"/>
        </w:tabs>
        <w:spacing w:before="0" w:after="0" w:line="240" w:lineRule="auto"/>
        <w:rPr>
          <w:rFonts w:asciiTheme="minorHAnsi" w:hAnsiTheme="minorHAnsi" w:cstheme="minorHAnsi"/>
          <w:szCs w:val="22"/>
        </w:rPr>
      </w:pPr>
      <w:r>
        <w:rPr>
          <w:rFonts w:asciiTheme="minorHAnsi" w:hAnsiTheme="minorHAnsi" w:cstheme="minorHAnsi"/>
          <w:szCs w:val="22"/>
        </w:rPr>
        <w:t>Předmětem interních auditů byly následující oblasti:</w:t>
      </w:r>
    </w:p>
    <w:p w:rsidR="003F4A6C" w:rsidRDefault="003F4A6C" w:rsidP="003F4A6C">
      <w:pPr>
        <w:pStyle w:val="Seznam"/>
        <w:numPr>
          <w:ilvl w:val="0"/>
          <w:numId w:val="21"/>
        </w:numPr>
        <w:tabs>
          <w:tab w:val="left" w:pos="567"/>
        </w:tabs>
        <w:spacing w:before="0" w:after="0" w:line="240" w:lineRule="auto"/>
        <w:ind w:left="567" w:hanging="567"/>
        <w:rPr>
          <w:rFonts w:asciiTheme="minorHAnsi" w:hAnsiTheme="minorHAnsi" w:cstheme="minorHAnsi"/>
          <w:szCs w:val="22"/>
        </w:rPr>
      </w:pPr>
      <w:r w:rsidRPr="00F27990">
        <w:rPr>
          <w:rFonts w:asciiTheme="minorHAnsi" w:hAnsiTheme="minorHAnsi" w:cstheme="minorHAnsi"/>
          <w:b/>
          <w:i/>
          <w:szCs w:val="22"/>
        </w:rPr>
        <w:t xml:space="preserve">SOL 5 VŘKS 2.4.1. Kontrola po linii řízení </w:t>
      </w:r>
      <w:r w:rsidRPr="00F27990">
        <w:rPr>
          <w:rFonts w:asciiTheme="minorHAnsi" w:hAnsiTheme="minorHAnsi" w:cstheme="minorHAnsi"/>
          <w:szCs w:val="22"/>
        </w:rPr>
        <w:t xml:space="preserve"> – součást detailního prověření  byly kontrola:</w:t>
      </w:r>
      <w:r w:rsidRPr="00F27990">
        <w:rPr>
          <w:rFonts w:asciiTheme="minorHAnsi" w:hAnsiTheme="minorHAnsi" w:cstheme="minorHAnsi"/>
          <w:szCs w:val="22"/>
        </w:rPr>
        <w:br/>
        <w:t>Obchodní oddělení -  jednotlivé obchodních případy, dodržování interních směrnic při vstupu do pojištění,  správnosti zadávání do IS, kontrola komunikačních procesů Oddělení likvidace – jednotlivé pojistné události,</w:t>
      </w:r>
      <w:r>
        <w:rPr>
          <w:rFonts w:asciiTheme="minorHAnsi" w:hAnsiTheme="minorHAnsi" w:cstheme="minorHAnsi"/>
          <w:szCs w:val="22"/>
        </w:rPr>
        <w:t xml:space="preserve"> proces zamezení podvodu, </w:t>
      </w:r>
      <w:r w:rsidRPr="00F27990">
        <w:rPr>
          <w:rFonts w:asciiTheme="minorHAnsi" w:hAnsiTheme="minorHAnsi" w:cstheme="minorHAnsi"/>
          <w:szCs w:val="22"/>
        </w:rPr>
        <w:t xml:space="preserve"> evidence, procesy v systémových nástrojích pojišťovny, časové lhůty, komunikace s klientem </w:t>
      </w:r>
    </w:p>
    <w:p w:rsidR="003F4A6C" w:rsidRPr="004B4701" w:rsidRDefault="003F4A6C" w:rsidP="003F4A6C">
      <w:pPr>
        <w:pStyle w:val="Seznam"/>
        <w:numPr>
          <w:ilvl w:val="0"/>
          <w:numId w:val="21"/>
        </w:numPr>
        <w:tabs>
          <w:tab w:val="left" w:pos="567"/>
        </w:tabs>
        <w:spacing w:before="0" w:after="0" w:line="240" w:lineRule="auto"/>
        <w:ind w:left="567" w:hanging="567"/>
        <w:rPr>
          <w:rFonts w:asciiTheme="minorHAnsi" w:hAnsiTheme="minorHAnsi" w:cstheme="minorHAnsi"/>
          <w:szCs w:val="22"/>
        </w:rPr>
      </w:pPr>
      <w:r w:rsidRPr="004B4701">
        <w:rPr>
          <w:rFonts w:asciiTheme="minorHAnsi" w:hAnsiTheme="minorHAnsi" w:cstheme="minorHAnsi"/>
          <w:b/>
          <w:i/>
          <w:szCs w:val="22"/>
        </w:rPr>
        <w:t>SOL 5 VŘKS 2.4.2.</w:t>
      </w:r>
      <w:r w:rsidRPr="004B4701">
        <w:rPr>
          <w:rFonts w:asciiTheme="minorHAnsi" w:hAnsiTheme="minorHAnsi" w:cstheme="minorHAnsi"/>
          <w:szCs w:val="22"/>
        </w:rPr>
        <w:t xml:space="preserve"> – </w:t>
      </w:r>
      <w:r w:rsidRPr="0097442D">
        <w:rPr>
          <w:rFonts w:asciiTheme="minorHAnsi" w:hAnsiTheme="minorHAnsi" w:cstheme="minorHAnsi"/>
          <w:b/>
          <w:i/>
          <w:szCs w:val="22"/>
        </w:rPr>
        <w:t>Procesní kontrola</w:t>
      </w:r>
      <w:r w:rsidRPr="004B4701">
        <w:rPr>
          <w:rFonts w:asciiTheme="minorHAnsi" w:hAnsiTheme="minorHAnsi" w:cstheme="minorHAnsi"/>
          <w:szCs w:val="22"/>
        </w:rPr>
        <w:t xml:space="preserve"> – detailní kontrola oběhu dokladů, kvalita , postupy, informace, kontrola interních dokladů, zajištění, stavu rezerv RBNS, správnost účtování</w:t>
      </w:r>
    </w:p>
    <w:p w:rsidR="003F4A6C" w:rsidRPr="004B4701" w:rsidRDefault="003F4A6C" w:rsidP="003F4A6C">
      <w:pPr>
        <w:pStyle w:val="Seznam"/>
        <w:numPr>
          <w:ilvl w:val="0"/>
          <w:numId w:val="21"/>
        </w:numPr>
        <w:tabs>
          <w:tab w:val="left" w:pos="567"/>
        </w:tabs>
        <w:spacing w:before="0" w:after="0" w:line="240" w:lineRule="auto"/>
        <w:ind w:left="567" w:hanging="567"/>
        <w:jc w:val="left"/>
        <w:rPr>
          <w:rFonts w:asciiTheme="minorHAnsi" w:hAnsiTheme="minorHAnsi" w:cstheme="minorHAnsi"/>
          <w:szCs w:val="22"/>
        </w:rPr>
      </w:pPr>
      <w:r>
        <w:rPr>
          <w:rFonts w:asciiTheme="minorHAnsi" w:hAnsiTheme="minorHAnsi" w:cstheme="minorHAnsi"/>
          <w:b/>
          <w:i/>
          <w:szCs w:val="22"/>
        </w:rPr>
        <w:t>SOL 5 VŘKS 2</w:t>
      </w:r>
      <w:r w:rsidRPr="007E5FAC">
        <w:rPr>
          <w:rFonts w:asciiTheme="minorHAnsi" w:hAnsiTheme="minorHAnsi" w:cstheme="minorHAnsi"/>
          <w:szCs w:val="22"/>
        </w:rPr>
        <w:t>.</w:t>
      </w:r>
      <w:r w:rsidRPr="004B4701">
        <w:rPr>
          <w:rFonts w:asciiTheme="minorHAnsi" w:hAnsiTheme="minorHAnsi" w:cstheme="minorHAnsi"/>
          <w:b/>
          <w:i/>
          <w:szCs w:val="22"/>
        </w:rPr>
        <w:t>4.3.</w:t>
      </w:r>
      <w:r>
        <w:rPr>
          <w:rFonts w:asciiTheme="minorHAnsi" w:hAnsiTheme="minorHAnsi" w:cstheme="minorHAnsi"/>
          <w:szCs w:val="22"/>
        </w:rPr>
        <w:t xml:space="preserve"> – </w:t>
      </w:r>
      <w:r w:rsidRPr="0097442D">
        <w:rPr>
          <w:rFonts w:asciiTheme="minorHAnsi" w:hAnsiTheme="minorHAnsi" w:cstheme="minorHAnsi"/>
          <w:b/>
          <w:i/>
          <w:szCs w:val="22"/>
        </w:rPr>
        <w:t>Ostatní kontrolní činnost</w:t>
      </w:r>
      <w:r>
        <w:rPr>
          <w:rFonts w:asciiTheme="minorHAnsi" w:hAnsiTheme="minorHAnsi" w:cstheme="minorHAnsi"/>
          <w:szCs w:val="22"/>
        </w:rPr>
        <w:t xml:space="preserve"> – nastavení procesů v oblastech</w:t>
      </w:r>
      <w:r>
        <w:rPr>
          <w:rFonts w:asciiTheme="minorHAnsi" w:hAnsiTheme="minorHAnsi" w:cstheme="minorHAnsi"/>
          <w:szCs w:val="22"/>
        </w:rPr>
        <w:br/>
      </w:r>
      <w:r>
        <w:rPr>
          <w:rFonts w:asciiTheme="minorHAnsi" w:hAnsiTheme="minorHAnsi" w:cstheme="minorHAnsi"/>
          <w:b/>
          <w:i/>
          <w:szCs w:val="22"/>
        </w:rPr>
        <w:t xml:space="preserve">- </w:t>
      </w:r>
      <w:r w:rsidRPr="004B4701">
        <w:rPr>
          <w:rFonts w:asciiTheme="minorHAnsi" w:hAnsiTheme="minorHAnsi" w:cstheme="minorHAnsi"/>
          <w:szCs w:val="22"/>
        </w:rPr>
        <w:t>Řízení rizik</w:t>
      </w:r>
      <w:r w:rsidRPr="00F27990">
        <w:rPr>
          <w:rFonts w:asciiTheme="minorHAnsi" w:hAnsiTheme="minorHAnsi" w:cstheme="minorHAnsi"/>
          <w:szCs w:val="22"/>
        </w:rPr>
        <w:t xml:space="preserve"> – aktualizace mapy rizik</w:t>
      </w:r>
      <w:r>
        <w:rPr>
          <w:rFonts w:asciiTheme="minorHAnsi" w:hAnsiTheme="minorHAnsi" w:cstheme="minorHAnsi"/>
          <w:szCs w:val="22"/>
        </w:rPr>
        <w:br/>
        <w:t xml:space="preserve">- Identifikace procesů a </w:t>
      </w:r>
      <w:r w:rsidRPr="004B4701">
        <w:rPr>
          <w:rFonts w:asciiTheme="minorHAnsi" w:hAnsiTheme="minorHAnsi" w:cstheme="minorHAnsi"/>
          <w:szCs w:val="22"/>
        </w:rPr>
        <w:t xml:space="preserve"> postupy proti legalizaci výnosů z trestné činnosti</w:t>
      </w:r>
    </w:p>
    <w:p w:rsidR="003F4A6C" w:rsidRDefault="003F4A6C" w:rsidP="003F4A6C">
      <w:pPr>
        <w:pStyle w:val="Seznam"/>
        <w:numPr>
          <w:ilvl w:val="0"/>
          <w:numId w:val="21"/>
        </w:numPr>
        <w:tabs>
          <w:tab w:val="left" w:pos="567"/>
        </w:tabs>
        <w:spacing w:before="0" w:after="0" w:line="240" w:lineRule="auto"/>
        <w:ind w:left="567" w:hanging="567"/>
        <w:rPr>
          <w:rFonts w:asciiTheme="minorHAnsi" w:hAnsiTheme="minorHAnsi" w:cstheme="minorHAnsi"/>
          <w:szCs w:val="22"/>
        </w:rPr>
      </w:pPr>
      <w:r>
        <w:rPr>
          <w:rFonts w:asciiTheme="minorHAnsi" w:hAnsiTheme="minorHAnsi" w:cstheme="minorHAnsi"/>
          <w:b/>
          <w:i/>
          <w:szCs w:val="22"/>
        </w:rPr>
        <w:t xml:space="preserve">SOL 5 VŘKS 2.4.3.2 </w:t>
      </w:r>
      <w:r w:rsidRPr="006D7809">
        <w:rPr>
          <w:rFonts w:asciiTheme="minorHAnsi" w:hAnsiTheme="minorHAnsi" w:cstheme="minorHAnsi"/>
          <w:b/>
          <w:i/>
          <w:szCs w:val="22"/>
        </w:rPr>
        <w:t>Kvalita služeb, řešení stížností, reklamací a podání klientů</w:t>
      </w:r>
      <w:r w:rsidRPr="006D7809">
        <w:rPr>
          <w:rFonts w:asciiTheme="minorHAnsi" w:hAnsiTheme="minorHAnsi" w:cstheme="minorHAnsi"/>
          <w:szCs w:val="22"/>
        </w:rPr>
        <w:t xml:space="preserve"> – reakce na písemné stížnosti, uchovávání dokumentace, měření spokojenosti klientů</w:t>
      </w:r>
    </w:p>
    <w:p w:rsidR="003F4A6C" w:rsidRDefault="003F4A6C" w:rsidP="003F4A6C">
      <w:pPr>
        <w:pStyle w:val="Seznam"/>
        <w:tabs>
          <w:tab w:val="left" w:pos="567"/>
        </w:tabs>
        <w:spacing w:before="0" w:after="0" w:line="240" w:lineRule="auto"/>
        <w:ind w:left="567"/>
        <w:rPr>
          <w:rFonts w:asciiTheme="minorHAnsi" w:hAnsiTheme="minorHAnsi" w:cstheme="minorHAnsi"/>
          <w:szCs w:val="22"/>
        </w:rPr>
      </w:pPr>
    </w:p>
    <w:p w:rsidR="003F4A6C" w:rsidRPr="0012484B" w:rsidRDefault="003F4A6C" w:rsidP="003F4A6C">
      <w:pPr>
        <w:pStyle w:val="Seznam"/>
        <w:numPr>
          <w:ilvl w:val="0"/>
          <w:numId w:val="20"/>
        </w:numPr>
        <w:spacing w:before="0" w:after="0" w:line="240" w:lineRule="auto"/>
        <w:ind w:left="567" w:hanging="567"/>
        <w:rPr>
          <w:rFonts w:asciiTheme="minorHAnsi" w:hAnsiTheme="minorHAnsi" w:cstheme="minorHAnsi"/>
          <w:b/>
          <w:sz w:val="32"/>
          <w:szCs w:val="32"/>
        </w:rPr>
      </w:pPr>
      <w:r w:rsidRPr="0012484B">
        <w:rPr>
          <w:rFonts w:asciiTheme="minorHAnsi" w:hAnsiTheme="minorHAnsi" w:cstheme="minorHAnsi"/>
          <w:b/>
          <w:sz w:val="32"/>
          <w:szCs w:val="32"/>
        </w:rPr>
        <w:t>Zjištění z vykonan</w:t>
      </w:r>
      <w:r>
        <w:rPr>
          <w:rFonts w:asciiTheme="minorHAnsi" w:hAnsiTheme="minorHAnsi" w:cstheme="minorHAnsi"/>
          <w:b/>
          <w:sz w:val="32"/>
          <w:szCs w:val="32"/>
        </w:rPr>
        <w:t>ých auditů</w:t>
      </w:r>
    </w:p>
    <w:p w:rsidR="003F4A6C" w:rsidRDefault="003F4A6C" w:rsidP="003F4A6C">
      <w:pPr>
        <w:pStyle w:val="Seznam"/>
        <w:tabs>
          <w:tab w:val="left" w:pos="709"/>
        </w:tabs>
        <w:spacing w:before="0" w:after="0" w:line="240" w:lineRule="auto"/>
        <w:rPr>
          <w:rFonts w:asciiTheme="minorHAnsi" w:hAnsiTheme="minorHAnsi" w:cstheme="minorHAnsi"/>
          <w:szCs w:val="22"/>
        </w:rPr>
      </w:pPr>
    </w:p>
    <w:p w:rsidR="003F4A6C" w:rsidRPr="00BA4FDA" w:rsidRDefault="003F4A6C" w:rsidP="003F4A6C">
      <w:pPr>
        <w:pStyle w:val="Seznam"/>
        <w:tabs>
          <w:tab w:val="left" w:pos="709"/>
        </w:tabs>
        <w:spacing w:before="0" w:after="0" w:line="240" w:lineRule="auto"/>
        <w:rPr>
          <w:rFonts w:asciiTheme="minorHAnsi" w:hAnsiTheme="minorHAnsi" w:cstheme="minorHAnsi"/>
          <w:b/>
          <w:i/>
          <w:szCs w:val="24"/>
        </w:rPr>
      </w:pPr>
      <w:r>
        <w:rPr>
          <w:rFonts w:asciiTheme="minorHAnsi" w:hAnsiTheme="minorHAnsi" w:cstheme="minorHAnsi"/>
          <w:b/>
          <w:i/>
          <w:szCs w:val="24"/>
        </w:rPr>
        <w:t xml:space="preserve">Ad a) </w:t>
      </w:r>
      <w:r w:rsidRPr="00F27990">
        <w:rPr>
          <w:rFonts w:asciiTheme="minorHAnsi" w:hAnsiTheme="minorHAnsi" w:cstheme="minorHAnsi"/>
          <w:b/>
          <w:i/>
          <w:szCs w:val="22"/>
        </w:rPr>
        <w:t xml:space="preserve">Kontrola po linii řízení </w:t>
      </w:r>
      <w:r w:rsidRPr="00F27990">
        <w:rPr>
          <w:rFonts w:asciiTheme="minorHAnsi" w:hAnsiTheme="minorHAnsi" w:cstheme="minorHAnsi"/>
          <w:szCs w:val="22"/>
        </w:rPr>
        <w:t xml:space="preserve"> </w:t>
      </w:r>
    </w:p>
    <w:p w:rsidR="003F4A6C"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Obchodní oddělení a oddělení likvidace - kontrolami jednotlivých případů byly zjištěny dílčí nedostatky nezávažného charakteru – na základě výsledků kontrol byly navrhnuta nápravná opatření, jejichž dodržování bude předmětem následujících auditů. O  podrobných výsledcích bylo informováno představenstvo.</w:t>
      </w:r>
    </w:p>
    <w:p w:rsidR="003F4A6C" w:rsidRPr="0097442D" w:rsidRDefault="003F4A6C" w:rsidP="003F4A6C">
      <w:pPr>
        <w:pStyle w:val="Seznam"/>
        <w:tabs>
          <w:tab w:val="left" w:pos="709"/>
        </w:tabs>
        <w:spacing w:before="0" w:after="0" w:line="240" w:lineRule="auto"/>
        <w:rPr>
          <w:rFonts w:asciiTheme="minorHAnsi" w:hAnsiTheme="minorHAnsi" w:cstheme="minorHAnsi"/>
          <w:b/>
          <w:i/>
          <w:szCs w:val="22"/>
        </w:rPr>
      </w:pPr>
      <w:r w:rsidRPr="0097442D">
        <w:rPr>
          <w:rFonts w:asciiTheme="minorHAnsi" w:hAnsiTheme="minorHAnsi" w:cstheme="minorHAnsi"/>
          <w:b/>
          <w:i/>
          <w:szCs w:val="22"/>
        </w:rPr>
        <w:t>Ad b) Procesní kontrola</w:t>
      </w:r>
    </w:p>
    <w:p w:rsidR="003F4A6C"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Provedenými kontrolami nebyly zjištěny nedostatky, které by byly řešeny nápravnými opatřeními.  O  podrobných výsledcích bylo informováno představenstvo.</w:t>
      </w:r>
    </w:p>
    <w:p w:rsidR="003F4A6C" w:rsidRPr="00AB15F9" w:rsidRDefault="003F4A6C" w:rsidP="003F4A6C">
      <w:pPr>
        <w:pStyle w:val="Seznam"/>
        <w:tabs>
          <w:tab w:val="left" w:pos="709"/>
        </w:tabs>
        <w:spacing w:before="0" w:after="0" w:line="240" w:lineRule="auto"/>
        <w:rPr>
          <w:rFonts w:asciiTheme="minorHAnsi" w:hAnsiTheme="minorHAnsi" w:cstheme="minorHAnsi"/>
          <w:b/>
          <w:i/>
          <w:szCs w:val="22"/>
        </w:rPr>
      </w:pPr>
      <w:r w:rsidRPr="00AB15F9">
        <w:rPr>
          <w:rFonts w:asciiTheme="minorHAnsi" w:hAnsiTheme="minorHAnsi" w:cstheme="minorHAnsi"/>
          <w:b/>
          <w:i/>
          <w:szCs w:val="22"/>
        </w:rPr>
        <w:t xml:space="preserve">Ad c) Ostatní kontrolní činnost </w:t>
      </w:r>
    </w:p>
    <w:p w:rsidR="003F4A6C"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Mapa rizik byla aktualizována a je součástí ORSA reportu 2016 schváleného představenstvem společnosti. V oblasti dodržování opatření proti legalizaci výnosů z trestné činnosti byla prověřena proškolenost zaměstnanců pojišťovny a znalost procesů.</w:t>
      </w:r>
    </w:p>
    <w:p w:rsidR="003F4A6C" w:rsidRDefault="003F4A6C" w:rsidP="003F4A6C">
      <w:pPr>
        <w:pStyle w:val="Seznam"/>
        <w:tabs>
          <w:tab w:val="left" w:pos="709"/>
        </w:tabs>
        <w:spacing w:before="0" w:after="0" w:line="240" w:lineRule="auto"/>
        <w:rPr>
          <w:rFonts w:asciiTheme="minorHAnsi" w:hAnsiTheme="minorHAnsi" w:cstheme="minorHAnsi"/>
          <w:szCs w:val="24"/>
        </w:rPr>
      </w:pPr>
      <w:r w:rsidRPr="00AB15F9">
        <w:rPr>
          <w:rFonts w:asciiTheme="minorHAnsi" w:hAnsiTheme="minorHAnsi" w:cstheme="minorHAnsi"/>
          <w:b/>
          <w:i/>
          <w:szCs w:val="22"/>
        </w:rPr>
        <w:t>Ad d)</w:t>
      </w:r>
      <w:r>
        <w:rPr>
          <w:rFonts w:asciiTheme="minorHAnsi" w:hAnsiTheme="minorHAnsi" w:cstheme="minorHAnsi"/>
          <w:szCs w:val="24"/>
        </w:rPr>
        <w:t xml:space="preserve"> </w:t>
      </w:r>
      <w:r w:rsidRPr="006D7809">
        <w:rPr>
          <w:rFonts w:asciiTheme="minorHAnsi" w:hAnsiTheme="minorHAnsi" w:cstheme="minorHAnsi"/>
          <w:b/>
          <w:i/>
          <w:szCs w:val="22"/>
        </w:rPr>
        <w:t>Kvalita služeb, řešení stížností, reklamací a podání klientů</w:t>
      </w:r>
      <w:r w:rsidRPr="006D7809">
        <w:rPr>
          <w:rFonts w:asciiTheme="minorHAnsi" w:hAnsiTheme="minorHAnsi" w:cstheme="minorHAnsi"/>
          <w:szCs w:val="22"/>
        </w:rPr>
        <w:t xml:space="preserve"> </w:t>
      </w:r>
      <w:r>
        <w:rPr>
          <w:rFonts w:asciiTheme="minorHAnsi" w:hAnsiTheme="minorHAnsi" w:cstheme="minorHAnsi"/>
          <w:szCs w:val="22"/>
        </w:rPr>
        <w:t xml:space="preserve">- </w:t>
      </w:r>
      <w:r>
        <w:rPr>
          <w:rFonts w:asciiTheme="minorHAnsi" w:hAnsiTheme="minorHAnsi" w:cstheme="minorHAnsi"/>
          <w:szCs w:val="24"/>
        </w:rPr>
        <w:t xml:space="preserve">byla prověřena evidence jednotlivých událostí, včasnost reakcí a zaznamenávání výsledků oprávněnosti a vyřešení. Na základě výsledků kontrol bylo zjištěno, že není nutné stanovovat nápravná opatření. O  podrobných výsledcích bylo informováno představenstvo. </w:t>
      </w:r>
    </w:p>
    <w:p w:rsidR="003F4A6C" w:rsidRDefault="003F4A6C" w:rsidP="003F4A6C">
      <w:pPr>
        <w:pStyle w:val="Seznam"/>
        <w:tabs>
          <w:tab w:val="left" w:pos="709"/>
        </w:tabs>
        <w:spacing w:before="0" w:after="0" w:line="240" w:lineRule="auto"/>
        <w:rPr>
          <w:rFonts w:asciiTheme="minorHAnsi" w:hAnsiTheme="minorHAnsi" w:cstheme="minorHAnsi"/>
          <w:szCs w:val="24"/>
        </w:rPr>
      </w:pPr>
    </w:p>
    <w:p w:rsidR="003F4A6C" w:rsidRPr="00BA4FDA" w:rsidRDefault="003F4A6C" w:rsidP="003F4A6C">
      <w:pPr>
        <w:pStyle w:val="Seznam"/>
        <w:numPr>
          <w:ilvl w:val="0"/>
          <w:numId w:val="20"/>
        </w:numPr>
        <w:spacing w:before="0" w:after="0" w:line="240" w:lineRule="auto"/>
        <w:ind w:left="567" w:hanging="567"/>
        <w:rPr>
          <w:rFonts w:asciiTheme="minorHAnsi" w:hAnsiTheme="minorHAnsi" w:cstheme="minorHAnsi"/>
          <w:b/>
          <w:sz w:val="32"/>
          <w:szCs w:val="32"/>
        </w:rPr>
      </w:pPr>
      <w:r w:rsidRPr="00BA4FDA">
        <w:rPr>
          <w:rFonts w:asciiTheme="minorHAnsi" w:hAnsiTheme="minorHAnsi" w:cstheme="minorHAnsi"/>
          <w:b/>
          <w:sz w:val="32"/>
          <w:szCs w:val="32"/>
        </w:rPr>
        <w:t>Doporučení</w:t>
      </w:r>
    </w:p>
    <w:p w:rsidR="003F4A6C" w:rsidRPr="00BA4FDA" w:rsidRDefault="003F4A6C" w:rsidP="003F4A6C">
      <w:pPr>
        <w:pStyle w:val="Seznam"/>
        <w:tabs>
          <w:tab w:val="left" w:pos="709"/>
        </w:tabs>
        <w:spacing w:before="0" w:after="0" w:line="240" w:lineRule="auto"/>
        <w:rPr>
          <w:rFonts w:asciiTheme="minorHAnsi" w:hAnsiTheme="minorHAnsi" w:cstheme="minorHAnsi"/>
          <w:szCs w:val="24"/>
        </w:rPr>
      </w:pPr>
    </w:p>
    <w:p w:rsidR="003F4A6C" w:rsidRDefault="003F4A6C" w:rsidP="003F4A6C">
      <w:pPr>
        <w:pStyle w:val="Seznam"/>
        <w:tabs>
          <w:tab w:val="left" w:pos="709"/>
        </w:tabs>
        <w:spacing w:before="0" w:after="0" w:line="240" w:lineRule="auto"/>
        <w:rPr>
          <w:rFonts w:asciiTheme="minorHAnsi" w:hAnsiTheme="minorHAnsi" w:cstheme="minorHAnsi"/>
          <w:szCs w:val="24"/>
        </w:rPr>
      </w:pPr>
      <w:r w:rsidRPr="00BA4FDA">
        <w:rPr>
          <w:rFonts w:asciiTheme="minorHAnsi" w:hAnsiTheme="minorHAnsi" w:cstheme="minorHAnsi"/>
          <w:szCs w:val="24"/>
        </w:rPr>
        <w:t xml:space="preserve">Na základě zjištění </w:t>
      </w:r>
      <w:r>
        <w:rPr>
          <w:rFonts w:asciiTheme="minorHAnsi" w:hAnsiTheme="minorHAnsi" w:cstheme="minorHAnsi"/>
          <w:szCs w:val="24"/>
        </w:rPr>
        <w:t>jednotlivých vnitřních auditů byly představenstvu předloženy návrhy dílčích opatření, která je třeba procesně implementovat.</w:t>
      </w:r>
    </w:p>
    <w:p w:rsidR="003F4A6C" w:rsidRDefault="003F4A6C" w:rsidP="003F4A6C">
      <w:pPr>
        <w:pStyle w:val="Seznam"/>
        <w:tabs>
          <w:tab w:val="left" w:pos="709"/>
        </w:tabs>
        <w:spacing w:before="0" w:after="0" w:line="240" w:lineRule="auto"/>
        <w:rPr>
          <w:rFonts w:asciiTheme="minorHAnsi" w:hAnsiTheme="minorHAnsi" w:cstheme="minorHAnsi"/>
          <w:szCs w:val="24"/>
        </w:rPr>
      </w:pPr>
    </w:p>
    <w:p w:rsidR="003F4A6C" w:rsidRPr="00BA4FDA" w:rsidRDefault="003F4A6C" w:rsidP="003F4A6C">
      <w:pPr>
        <w:pStyle w:val="Seznam"/>
        <w:numPr>
          <w:ilvl w:val="0"/>
          <w:numId w:val="20"/>
        </w:numPr>
        <w:spacing w:before="0" w:after="0" w:line="240" w:lineRule="auto"/>
        <w:ind w:left="567" w:hanging="567"/>
        <w:rPr>
          <w:rFonts w:asciiTheme="minorHAnsi" w:hAnsiTheme="minorHAnsi" w:cstheme="minorHAnsi"/>
          <w:b/>
          <w:sz w:val="32"/>
          <w:szCs w:val="32"/>
        </w:rPr>
      </w:pPr>
      <w:r w:rsidRPr="00BA4FDA">
        <w:rPr>
          <w:rFonts w:asciiTheme="minorHAnsi" w:hAnsiTheme="minorHAnsi" w:cstheme="minorHAnsi"/>
          <w:b/>
          <w:sz w:val="32"/>
          <w:szCs w:val="32"/>
        </w:rPr>
        <w:t>Závěr</w:t>
      </w:r>
    </w:p>
    <w:p w:rsidR="003F4A6C" w:rsidRPr="00BA4FDA" w:rsidRDefault="003F4A6C" w:rsidP="003F4A6C">
      <w:pPr>
        <w:pStyle w:val="Seznam"/>
        <w:tabs>
          <w:tab w:val="left" w:pos="709"/>
        </w:tabs>
        <w:spacing w:before="0" w:after="0" w:line="240" w:lineRule="auto"/>
        <w:rPr>
          <w:rFonts w:asciiTheme="minorHAnsi" w:hAnsiTheme="minorHAnsi" w:cstheme="minorHAnsi"/>
          <w:b/>
          <w:i/>
          <w:szCs w:val="24"/>
        </w:rPr>
      </w:pPr>
    </w:p>
    <w:p w:rsidR="003F4A6C"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Interní audit nezjistil závažné nedostatky v prověřovaných oblastech. Dílčí zjištění včetně návrhů na odstranění a nápravná opatření byla projednána s odpovědnými osobami dle VKŘS. Procesy a činnosti v Servisní pojišťovně jsou v souladu interními předpisy.</w:t>
      </w:r>
    </w:p>
    <w:p w:rsidR="003F4A6C" w:rsidRPr="00BA4FDA" w:rsidRDefault="003F4A6C" w:rsidP="003F4A6C">
      <w:pPr>
        <w:pStyle w:val="Seznam"/>
        <w:tabs>
          <w:tab w:val="left" w:pos="709"/>
        </w:tabs>
        <w:spacing w:before="0" w:after="0" w:line="240" w:lineRule="auto"/>
        <w:rPr>
          <w:rFonts w:asciiTheme="minorHAnsi" w:hAnsiTheme="minorHAnsi" w:cstheme="minorHAnsi"/>
          <w:szCs w:val="24"/>
        </w:rPr>
      </w:pPr>
    </w:p>
    <w:p w:rsidR="003F4A6C" w:rsidRPr="00BA4FDA"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Ve Zlíně dne 7</w:t>
      </w:r>
      <w:r w:rsidRPr="00161349">
        <w:rPr>
          <w:rFonts w:asciiTheme="minorHAnsi" w:hAnsiTheme="minorHAnsi" w:cstheme="minorHAnsi"/>
          <w:szCs w:val="24"/>
        </w:rPr>
        <w:t>.4. 2017</w:t>
      </w:r>
    </w:p>
    <w:p w:rsidR="003F4A6C" w:rsidRDefault="003F4A6C" w:rsidP="003F4A6C">
      <w:pPr>
        <w:pStyle w:val="Seznam"/>
        <w:tabs>
          <w:tab w:val="left" w:pos="709"/>
        </w:tabs>
        <w:spacing w:before="0" w:after="0" w:line="240" w:lineRule="auto"/>
        <w:rPr>
          <w:rFonts w:asciiTheme="minorHAnsi" w:hAnsiTheme="minorHAnsi" w:cstheme="minorHAnsi"/>
          <w:szCs w:val="24"/>
        </w:rPr>
      </w:pPr>
    </w:p>
    <w:p w:rsidR="003F4A6C" w:rsidRPr="00BA4FDA" w:rsidRDefault="003F4A6C" w:rsidP="003F4A6C">
      <w:pPr>
        <w:pStyle w:val="Seznam"/>
        <w:tabs>
          <w:tab w:val="left" w:pos="709"/>
        </w:tabs>
        <w:spacing w:before="0" w:after="0" w:line="240" w:lineRule="auto"/>
        <w:rPr>
          <w:rFonts w:asciiTheme="minorHAnsi" w:hAnsiTheme="minorHAnsi" w:cstheme="minorHAnsi"/>
          <w:szCs w:val="24"/>
        </w:rPr>
      </w:pPr>
      <w:r>
        <w:rPr>
          <w:rFonts w:asciiTheme="minorHAnsi" w:hAnsiTheme="minorHAnsi" w:cstheme="minorHAnsi"/>
          <w:szCs w:val="24"/>
        </w:rPr>
        <w:t>Kamila Boháčková</w:t>
      </w:r>
    </w:p>
    <w:p w:rsidR="003F4A6C" w:rsidRPr="00BA4FDA" w:rsidRDefault="003F4A6C" w:rsidP="003F4A6C">
      <w:pPr>
        <w:pStyle w:val="Seznam"/>
        <w:tabs>
          <w:tab w:val="left" w:pos="709"/>
          <w:tab w:val="center" w:pos="6663"/>
        </w:tabs>
        <w:spacing w:before="0" w:after="0" w:line="240" w:lineRule="auto"/>
        <w:rPr>
          <w:rFonts w:asciiTheme="minorHAnsi" w:hAnsiTheme="minorHAnsi" w:cstheme="minorHAnsi"/>
          <w:szCs w:val="24"/>
        </w:rPr>
      </w:pPr>
      <w:r>
        <w:rPr>
          <w:rFonts w:asciiTheme="minorHAnsi" w:hAnsiTheme="minorHAnsi" w:cstheme="minorHAnsi"/>
          <w:szCs w:val="24"/>
        </w:rPr>
        <w:t>i</w:t>
      </w:r>
      <w:r w:rsidRPr="00BA4FDA">
        <w:rPr>
          <w:rFonts w:asciiTheme="minorHAnsi" w:hAnsiTheme="minorHAnsi" w:cstheme="minorHAnsi"/>
          <w:szCs w:val="24"/>
        </w:rPr>
        <w:t xml:space="preserve">nterní auditor </w:t>
      </w:r>
    </w:p>
    <w:p w:rsidR="00D1794E" w:rsidRDefault="00D1794E">
      <w:pPr>
        <w:rPr>
          <w:rFonts w:ascii="Times New Roman" w:hAnsi="Times New Roman" w:cs="Times New Roman"/>
          <w:sz w:val="24"/>
          <w:szCs w:val="24"/>
        </w:rPr>
      </w:pPr>
      <w:r>
        <w:rPr>
          <w:rFonts w:ascii="Times New Roman" w:hAnsi="Times New Roman" w:cs="Times New Roman"/>
          <w:sz w:val="24"/>
          <w:szCs w:val="24"/>
        </w:rPr>
        <w:br w:type="page"/>
      </w:r>
    </w:p>
    <w:p w:rsidR="003F4A6C" w:rsidRPr="00B96975" w:rsidRDefault="003F4A6C" w:rsidP="009445D6">
      <w:pPr>
        <w:rPr>
          <w:rFonts w:ascii="Times New Roman" w:hAnsi="Times New Roman" w:cs="Times New Roman"/>
          <w:sz w:val="24"/>
          <w:szCs w:val="24"/>
        </w:rPr>
      </w:pPr>
    </w:p>
    <w:sectPr w:rsidR="003F4A6C" w:rsidRPr="00B96975">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0BB" w:rsidRDefault="00EC20BB" w:rsidP="008B0CA8">
      <w:pPr>
        <w:spacing w:after="0" w:line="240" w:lineRule="auto"/>
      </w:pPr>
      <w:r>
        <w:separator/>
      </w:r>
    </w:p>
  </w:endnote>
  <w:endnote w:type="continuationSeparator" w:id="0">
    <w:p w:rsidR="00EC20BB" w:rsidRDefault="00EC20BB" w:rsidP="008B0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63"/>
      <w:gridCol w:w="8325"/>
    </w:tblGrid>
    <w:tr w:rsidR="00EC20BB">
      <w:tc>
        <w:tcPr>
          <w:tcW w:w="918" w:type="dxa"/>
        </w:tcPr>
        <w:p w:rsidR="00EC20BB" w:rsidRDefault="00EC20BB">
          <w:pPr>
            <w:pStyle w:val="Zpat"/>
            <w:jc w:val="right"/>
            <w:rPr>
              <w:b/>
              <w:bCs/>
              <w:color w:val="4F81BD" w:themeColor="accent1"/>
              <w:sz w:val="32"/>
              <w:szCs w:val="32"/>
              <w14:numForm w14:val="oldStyle"/>
            </w:rPr>
          </w:pPr>
          <w:r>
            <w:rPr>
              <w:szCs w:val="21"/>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PAGE   \* MERGEFORMAT</w:instrText>
          </w:r>
          <w:r>
            <w:rPr>
              <w:szCs w:val="21"/>
              <w14:shadow w14:blurRad="50800" w14:dist="38100" w14:dir="2700000" w14:sx="100000" w14:sy="100000" w14:kx="0" w14:ky="0" w14:algn="tl">
                <w14:srgbClr w14:val="000000">
                  <w14:alpha w14:val="60000"/>
                </w14:srgbClr>
              </w14:shadow>
              <w14:numForm w14:val="oldStyle"/>
            </w:rPr>
            <w:fldChar w:fldCharType="separate"/>
          </w:r>
          <w:r w:rsidR="00A25944" w:rsidRPr="00A25944">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2</w:t>
          </w:r>
          <w:r>
            <w:rPr>
              <w:b/>
              <w:bCs/>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EC20BB" w:rsidRDefault="00EC20BB">
          <w:pPr>
            <w:pStyle w:val="Zpat"/>
          </w:pPr>
        </w:p>
      </w:tc>
    </w:tr>
  </w:tbl>
  <w:p w:rsidR="00EC20BB" w:rsidRDefault="00EC20B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0BB" w:rsidRDefault="00EC20BB" w:rsidP="008B0CA8">
      <w:pPr>
        <w:spacing w:after="0" w:line="240" w:lineRule="auto"/>
      </w:pPr>
      <w:r>
        <w:separator/>
      </w:r>
    </w:p>
  </w:footnote>
  <w:footnote w:type="continuationSeparator" w:id="0">
    <w:p w:rsidR="00EC20BB" w:rsidRDefault="00EC20BB" w:rsidP="008B0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EC20BB">
      <w:trPr>
        <w:trHeight w:val="288"/>
      </w:trPr>
      <w:sdt>
        <w:sdtPr>
          <w:rPr>
            <w:rFonts w:asciiTheme="majorHAnsi" w:eastAsiaTheme="majorEastAsia" w:hAnsiTheme="majorHAnsi" w:cstheme="majorBidi"/>
            <w:sz w:val="36"/>
            <w:szCs w:val="36"/>
          </w:rPr>
          <w:alias w:val="Název"/>
          <w:id w:val="77761602"/>
          <w:placeholder>
            <w:docPart w:val="573ED702ABA8447A8BD1950D720FC158"/>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EC20BB" w:rsidRDefault="00EC20BB" w:rsidP="00FE34F0">
              <w:pPr>
                <w:pStyle w:val="Zhlav"/>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Zpráva o solventnosti a finanční situaci</w:t>
              </w:r>
            </w:p>
          </w:tc>
        </w:sdtContent>
      </w:sdt>
      <w:sdt>
        <w:sdtP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alias w:val="Rok"/>
          <w:id w:val="77761609"/>
          <w:placeholder>
            <w:docPart w:val="D50C2732D1D0489E9DD02364E6B2EB1D"/>
          </w:placeholder>
          <w:dataBinding w:prefixMappings="xmlns:ns0='http://schemas.microsoft.com/office/2006/coverPageProps'" w:xpath="/ns0:CoverPageProperties[1]/ns0:PublishDate[1]" w:storeItemID="{55AF091B-3C7A-41E3-B477-F2FDAA23CFDA}"/>
          <w:date w:fullDate="2016-01-01T00:00:00Z">
            <w:dateFormat w:val="yyyy"/>
            <w:lid w:val="cs-CZ"/>
            <w:storeMappedDataAs w:val="dateTime"/>
            <w:calendar w:val="gregorian"/>
          </w:date>
        </w:sdtPr>
        <w:sdtEndPr/>
        <w:sdtContent>
          <w:tc>
            <w:tcPr>
              <w:tcW w:w="1105" w:type="dxa"/>
            </w:tcPr>
            <w:p w:rsidR="00EC20BB" w:rsidRDefault="00EC20BB" w:rsidP="008B0CA8">
              <w:pPr>
                <w:pStyle w:val="Zhlav"/>
                <w:rPr>
                  <w:rFonts w:asciiTheme="majorHAnsi" w:eastAsiaTheme="majorEastAsia" w:hAnsiTheme="majorHAnsi" w:cstheme="majorBidi"/>
                  <w:b/>
                  <w:bCs/>
                  <w:color w:val="4F81BD" w:themeColor="accent1"/>
                  <w:sz w:val="36"/>
                  <w:szCs w:val="36"/>
                  <w14:numForm w14:val="oldStyle"/>
                </w:rPr>
              </w:pPr>
              <w: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t>2016</w:t>
              </w:r>
            </w:p>
          </w:tc>
        </w:sdtContent>
      </w:sdt>
    </w:tr>
  </w:tbl>
  <w:p w:rsidR="00EC20BB" w:rsidRDefault="00EC20B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4AAB"/>
    <w:multiLevelType w:val="hybridMultilevel"/>
    <w:tmpl w:val="E2849B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B863F89"/>
    <w:multiLevelType w:val="hybridMultilevel"/>
    <w:tmpl w:val="5EF20072"/>
    <w:lvl w:ilvl="0" w:tplc="0405000F">
      <w:start w:val="1"/>
      <w:numFmt w:val="decimal"/>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0E72959"/>
    <w:multiLevelType w:val="hybridMultilevel"/>
    <w:tmpl w:val="21BEC0E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2FF0033"/>
    <w:multiLevelType w:val="hybridMultilevel"/>
    <w:tmpl w:val="88103ACC"/>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7DC066A"/>
    <w:multiLevelType w:val="multilevel"/>
    <w:tmpl w:val="3D042D04"/>
    <w:lvl w:ilvl="0">
      <w:start w:val="1"/>
      <w:numFmt w:val="decimal"/>
      <w:pStyle w:val="Nadpis1"/>
      <w:lvlText w:val="%1"/>
      <w:lvlJc w:val="left"/>
      <w:pPr>
        <w:tabs>
          <w:tab w:val="num" w:pos="0"/>
        </w:tabs>
        <w:ind w:left="0" w:hanging="964"/>
      </w:pPr>
    </w:lvl>
    <w:lvl w:ilvl="1">
      <w:start w:val="1"/>
      <w:numFmt w:val="decimal"/>
      <w:pStyle w:val="Nadpis2"/>
      <w:lvlText w:val="%1.%2"/>
      <w:lvlJc w:val="left"/>
      <w:pPr>
        <w:tabs>
          <w:tab w:val="num" w:pos="0"/>
        </w:tabs>
        <w:ind w:left="0" w:hanging="964"/>
      </w:pPr>
    </w:lvl>
    <w:lvl w:ilvl="2">
      <w:start w:val="1"/>
      <w:numFmt w:val="decimal"/>
      <w:pStyle w:val="Nadpis3"/>
      <w:lvlText w:val="%1.%2.%3"/>
      <w:lvlJc w:val="left"/>
      <w:pPr>
        <w:tabs>
          <w:tab w:val="num" w:pos="0"/>
        </w:tabs>
        <w:ind w:left="0" w:hanging="964"/>
      </w:pPr>
    </w:lvl>
    <w:lvl w:ilvl="3">
      <w:start w:val="1"/>
      <w:numFmt w:val="decimal"/>
      <w:pStyle w:val="Nadpis4"/>
      <w:lvlText w:val="%1.%2.%3.%4"/>
      <w:lvlJc w:val="left"/>
      <w:pPr>
        <w:tabs>
          <w:tab w:val="num" w:pos="20"/>
        </w:tabs>
        <w:ind w:left="0" w:hanging="9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B19405C"/>
    <w:multiLevelType w:val="hybridMultilevel"/>
    <w:tmpl w:val="B5785E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FDF629E"/>
    <w:multiLevelType w:val="hybridMultilevel"/>
    <w:tmpl w:val="059EF372"/>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6D864AF"/>
    <w:multiLevelType w:val="hybridMultilevel"/>
    <w:tmpl w:val="91027E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C9E59AE"/>
    <w:multiLevelType w:val="hybridMultilevel"/>
    <w:tmpl w:val="6104362E"/>
    <w:lvl w:ilvl="0" w:tplc="04050001">
      <w:start w:val="1"/>
      <w:numFmt w:val="bullet"/>
      <w:lvlText w:val=""/>
      <w:lvlJc w:val="left"/>
      <w:pPr>
        <w:ind w:left="765" w:hanging="360"/>
      </w:pPr>
      <w:rPr>
        <w:rFonts w:ascii="Symbol" w:hAnsi="Symbol" w:hint="default"/>
      </w:rPr>
    </w:lvl>
    <w:lvl w:ilvl="1" w:tplc="5B9E41C8">
      <w:start w:val="1"/>
      <w:numFmt w:val="lowerRoman"/>
      <w:lvlText w:val="%2)"/>
      <w:lvlJc w:val="left"/>
      <w:pPr>
        <w:ind w:left="1485" w:hanging="360"/>
      </w:pPr>
      <w:rPr>
        <w:rFonts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9">
    <w:nsid w:val="2E1E7769"/>
    <w:multiLevelType w:val="hybridMultilevel"/>
    <w:tmpl w:val="9A2610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9366CFC"/>
    <w:multiLevelType w:val="hybridMultilevel"/>
    <w:tmpl w:val="04EC1990"/>
    <w:lvl w:ilvl="0" w:tplc="0F4E805C">
      <w:start w:val="1"/>
      <w:numFmt w:val="bullet"/>
      <w:pStyle w:val="Puntk"/>
      <w:lvlText w:val=""/>
      <w:lvlJc w:val="left"/>
      <w:pPr>
        <w:tabs>
          <w:tab w:val="num" w:pos="284"/>
        </w:tabs>
        <w:ind w:left="284" w:hanging="284"/>
      </w:pPr>
      <w:rPr>
        <w:rFonts w:ascii="Symbol" w:hAnsi="Symbol" w:hint="default"/>
      </w:rPr>
    </w:lvl>
    <w:lvl w:ilvl="1" w:tplc="04050003">
      <w:start w:val="1"/>
      <w:numFmt w:val="bullet"/>
      <w:lvlText w:val=""/>
      <w:lvlJc w:val="left"/>
      <w:pPr>
        <w:tabs>
          <w:tab w:val="num" w:pos="1080"/>
        </w:tabs>
        <w:ind w:left="890" w:hanging="170"/>
      </w:pPr>
      <w:rPr>
        <w:rFonts w:ascii="Symbol" w:hAnsi="Symbol" w:hint="default"/>
      </w:rPr>
    </w:lvl>
    <w:lvl w:ilvl="2" w:tplc="04050005">
      <w:start w:val="1"/>
      <w:numFmt w:val="decimal"/>
      <w:lvlText w:val="%3."/>
      <w:lvlJc w:val="left"/>
      <w:pPr>
        <w:tabs>
          <w:tab w:val="num" w:pos="1980"/>
        </w:tabs>
        <w:ind w:left="1980" w:hanging="360"/>
      </w:pPr>
      <w:rPr>
        <w:rFonts w:hint="default"/>
      </w:rPr>
    </w:lvl>
    <w:lvl w:ilvl="3" w:tplc="04050001">
      <w:start w:val="3"/>
      <w:numFmt w:val="decimal"/>
      <w:lvlText w:val="%4"/>
      <w:lvlJc w:val="left"/>
      <w:pPr>
        <w:tabs>
          <w:tab w:val="num" w:pos="2520"/>
        </w:tabs>
        <w:ind w:left="2520" w:hanging="360"/>
      </w:pPr>
      <w:rPr>
        <w:rFonts w:hint="default"/>
      </w:rPr>
    </w:lvl>
    <w:lvl w:ilvl="4" w:tplc="04050003">
      <w:start w:val="2"/>
      <w:numFmt w:val="bullet"/>
      <w:lvlText w:val="–"/>
      <w:lvlJc w:val="left"/>
      <w:pPr>
        <w:tabs>
          <w:tab w:val="num" w:pos="3240"/>
        </w:tabs>
        <w:ind w:left="3240" w:hanging="360"/>
      </w:pPr>
      <w:rPr>
        <w:rFonts w:ascii="Arial" w:eastAsia="Times New Roman" w:hAnsi="Arial" w:cs="Arial" w:hint="default"/>
      </w:rPr>
    </w:lvl>
    <w:lvl w:ilvl="5" w:tplc="04A20D20">
      <w:start w:val="1"/>
      <w:numFmt w:val="lowerLetter"/>
      <w:lvlText w:val="%6)"/>
      <w:lvlJc w:val="left"/>
      <w:pPr>
        <w:ind w:left="4485" w:hanging="705"/>
      </w:pPr>
      <w:rPr>
        <w:rFonts w:hint="default"/>
      </w:r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1">
    <w:nsid w:val="497D7439"/>
    <w:multiLevelType w:val="hybridMultilevel"/>
    <w:tmpl w:val="4534726C"/>
    <w:lvl w:ilvl="0" w:tplc="6A56F9D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nsid w:val="52460426"/>
    <w:multiLevelType w:val="hybridMultilevel"/>
    <w:tmpl w:val="BCAEF008"/>
    <w:lvl w:ilvl="0" w:tplc="0405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57843047"/>
    <w:multiLevelType w:val="hybridMultilevel"/>
    <w:tmpl w:val="B8E80C00"/>
    <w:lvl w:ilvl="0" w:tplc="04050005">
      <w:start w:val="1"/>
      <w:numFmt w:val="bullet"/>
      <w:lvlText w:val=""/>
      <w:lvlJc w:val="left"/>
      <w:pPr>
        <w:ind w:left="765" w:hanging="360"/>
      </w:pPr>
      <w:rPr>
        <w:rFonts w:ascii="Wingdings" w:hAnsi="Wingdings" w:hint="default"/>
      </w:rPr>
    </w:lvl>
    <w:lvl w:ilvl="1" w:tplc="041B0003">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14">
    <w:nsid w:val="60184375"/>
    <w:multiLevelType w:val="multilevel"/>
    <w:tmpl w:val="7AB28698"/>
    <w:lvl w:ilvl="0">
      <w:start w:val="1"/>
      <w:numFmt w:val="decimal"/>
      <w:pStyle w:val="Stylslovanodstavec-mjTun"/>
      <w:lvlText w:val="Čl. %1 "/>
      <w:lvlJc w:val="left"/>
      <w:pPr>
        <w:tabs>
          <w:tab w:val="num" w:pos="0"/>
        </w:tabs>
        <w:ind w:left="360" w:hanging="360"/>
      </w:pPr>
      <w:rPr>
        <w:rFonts w:ascii="Arial" w:hAnsi="Arial" w:hint="default"/>
        <w:b/>
        <w:bCs/>
        <w:i w:val="0"/>
        <w:iCs w:val="0"/>
        <w:caps w:val="0"/>
        <w:strike w:val="0"/>
        <w:dstrike w:val="0"/>
        <w:outline w:val="0"/>
        <w:shadow w:val="0"/>
        <w:emboss w:val="0"/>
        <w:imprint w:val="0"/>
        <w:vanish w:val="0"/>
        <w:color w:val="auto"/>
        <w:spacing w:val="0"/>
        <w:w w:val="100"/>
        <w:kern w:val="0"/>
        <w:position w:val="0"/>
        <w:sz w:val="20"/>
        <w:szCs w:val="20"/>
        <w:u w:val="none"/>
        <w:vertAlign w:val="baseline"/>
      </w:rPr>
    </w:lvl>
    <w:lvl w:ilvl="1">
      <w:start w:val="1"/>
      <w:numFmt w:val="decimal"/>
      <w:lvlText w:val="%1.%2."/>
      <w:lvlJc w:val="left"/>
      <w:pPr>
        <w:tabs>
          <w:tab w:val="num" w:pos="737"/>
        </w:tabs>
        <w:ind w:left="737" w:hanging="737"/>
      </w:pPr>
      <w:rPr>
        <w:rFonts w:ascii="Calibri" w:hAnsi="Calibri" w:hint="default"/>
        <w:b w:val="0"/>
        <w:bCs/>
        <w:i w:val="0"/>
        <w:iCs w:val="0"/>
        <w:caps/>
        <w:sz w:val="22"/>
        <w:szCs w:val="22"/>
      </w:rPr>
    </w:lvl>
    <w:lvl w:ilvl="2">
      <w:start w:val="1"/>
      <w:numFmt w:val="bullet"/>
      <w:lvlText w:val=""/>
      <w:lvlJc w:val="left"/>
      <w:pPr>
        <w:tabs>
          <w:tab w:val="num" w:pos="851"/>
        </w:tabs>
        <w:ind w:left="1361" w:hanging="510"/>
      </w:pPr>
      <w:rPr>
        <w:rFonts w:ascii="Wingdings" w:hAnsi="Wingdings" w:hint="default"/>
        <w:b w:val="0"/>
        <w:i w:val="0"/>
        <w:sz w:val="22"/>
        <w:szCs w:val="22"/>
      </w:rPr>
    </w:lvl>
    <w:lvl w:ilvl="3">
      <w:start w:val="1"/>
      <w:numFmt w:val="decimal"/>
      <w:lvlText w:val="%4"/>
      <w:lvlJc w:val="left"/>
      <w:pPr>
        <w:tabs>
          <w:tab w:val="num" w:pos="2268"/>
        </w:tabs>
        <w:ind w:left="2268" w:hanging="567"/>
      </w:pPr>
      <w:rPr>
        <w:rFonts w:ascii="Arial" w:hAnsi="Arial" w:hint="default"/>
        <w:b w:val="0"/>
        <w:i w:val="0"/>
        <w:sz w:val="20"/>
        <w:szCs w:val="20"/>
      </w:rPr>
    </w:lvl>
    <w:lvl w:ilvl="4">
      <w:start w:val="1"/>
      <w:numFmt w:val="decimal"/>
      <w:lvlText w:val="%1.%2.%3.%4.%5."/>
      <w:lvlJc w:val="left"/>
      <w:pPr>
        <w:tabs>
          <w:tab w:val="num" w:pos="2520"/>
        </w:tabs>
        <w:ind w:left="2232" w:hanging="792"/>
      </w:pPr>
      <w:rPr>
        <w:rFonts w:hint="default"/>
        <w:b w:val="0"/>
        <w:i w:val="0"/>
        <w:sz w:val="22"/>
        <w:szCs w:val="22"/>
      </w:rPr>
    </w:lvl>
    <w:lvl w:ilvl="5">
      <w:start w:val="1"/>
      <w:numFmt w:val="decimal"/>
      <w:lvlText w:val="%1.%2.%3.%4.%5.%6."/>
      <w:lvlJc w:val="left"/>
      <w:pPr>
        <w:tabs>
          <w:tab w:val="num" w:pos="2880"/>
        </w:tabs>
        <w:ind w:left="2736" w:hanging="936"/>
      </w:pPr>
      <w:rPr>
        <w:rFonts w:hint="default"/>
        <w:b w:val="0"/>
        <w:i w:val="0"/>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3822D93"/>
    <w:multiLevelType w:val="hybridMultilevel"/>
    <w:tmpl w:val="53D451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48C1E10"/>
    <w:multiLevelType w:val="hybridMultilevel"/>
    <w:tmpl w:val="8938C76C"/>
    <w:lvl w:ilvl="0" w:tplc="04050005">
      <w:start w:val="1"/>
      <w:numFmt w:val="bullet"/>
      <w:lvlText w:val=""/>
      <w:lvlJc w:val="left"/>
      <w:pPr>
        <w:ind w:left="720" w:hanging="360"/>
      </w:pPr>
      <w:rPr>
        <w:rFonts w:ascii="Wingdings" w:hAnsi="Wingdings" w:hint="default"/>
      </w:rPr>
    </w:lvl>
    <w:lvl w:ilvl="1" w:tplc="0405000F">
      <w:start w:val="1"/>
      <w:numFmt w:val="decimal"/>
      <w:lvlText w:val="%2."/>
      <w:lvlJc w:val="left"/>
      <w:pPr>
        <w:ind w:left="1440" w:hanging="360"/>
      </w:pPr>
      <w:rPr>
        <w:rFont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D32667E"/>
    <w:multiLevelType w:val="hybridMultilevel"/>
    <w:tmpl w:val="A1585F48"/>
    <w:lvl w:ilvl="0" w:tplc="E58A5C60">
      <w:start w:val="1"/>
      <w:numFmt w:val="decimal"/>
      <w:lvlText w:val="%1."/>
      <w:lvlJc w:val="left"/>
      <w:pPr>
        <w:ind w:left="720" w:hanging="360"/>
      </w:pPr>
      <w:rPr>
        <w:rFonts w:hint="default"/>
        <w:b/>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0360632"/>
    <w:multiLevelType w:val="hybridMultilevel"/>
    <w:tmpl w:val="A7CE3BD2"/>
    <w:lvl w:ilvl="0" w:tplc="0405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74331758"/>
    <w:multiLevelType w:val="hybridMultilevel"/>
    <w:tmpl w:val="5D18F4F6"/>
    <w:lvl w:ilvl="0" w:tplc="04050005">
      <w:start w:val="1"/>
      <w:numFmt w:val="bullet"/>
      <w:lvlText w:val=""/>
      <w:lvlJc w:val="left"/>
      <w:pPr>
        <w:ind w:left="765" w:hanging="360"/>
      </w:pPr>
      <w:rPr>
        <w:rFonts w:ascii="Wingdings" w:hAnsi="Wingdings" w:hint="default"/>
      </w:rPr>
    </w:lvl>
    <w:lvl w:ilvl="1" w:tplc="04050003">
      <w:start w:val="1"/>
      <w:numFmt w:val="bullet"/>
      <w:lvlText w:val="o"/>
      <w:lvlJc w:val="left"/>
      <w:pPr>
        <w:ind w:left="1485" w:hanging="360"/>
      </w:pPr>
      <w:rPr>
        <w:rFonts w:ascii="Courier New" w:hAnsi="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20">
    <w:nsid w:val="74BB0153"/>
    <w:multiLevelType w:val="hybridMultilevel"/>
    <w:tmpl w:val="FC8656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C3957D3"/>
    <w:multiLevelType w:val="hybridMultilevel"/>
    <w:tmpl w:val="05AA91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6"/>
  </w:num>
  <w:num w:numId="4">
    <w:abstractNumId w:val="1"/>
  </w:num>
  <w:num w:numId="5">
    <w:abstractNumId w:val="12"/>
  </w:num>
  <w:num w:numId="6">
    <w:abstractNumId w:val="19"/>
  </w:num>
  <w:num w:numId="7">
    <w:abstractNumId w:val="8"/>
  </w:num>
  <w:num w:numId="8">
    <w:abstractNumId w:val="13"/>
  </w:num>
  <w:num w:numId="9">
    <w:abstractNumId w:val="2"/>
  </w:num>
  <w:num w:numId="10">
    <w:abstractNumId w:val="10"/>
  </w:num>
  <w:num w:numId="11">
    <w:abstractNumId w:val="6"/>
  </w:num>
  <w:num w:numId="12">
    <w:abstractNumId w:val="18"/>
  </w:num>
  <w:num w:numId="13">
    <w:abstractNumId w:val="21"/>
  </w:num>
  <w:num w:numId="14">
    <w:abstractNumId w:val="14"/>
  </w:num>
  <w:num w:numId="15">
    <w:abstractNumId w:val="20"/>
  </w:num>
  <w:num w:numId="16">
    <w:abstractNumId w:val="5"/>
  </w:num>
  <w:num w:numId="17">
    <w:abstractNumId w:val="9"/>
  </w:num>
  <w:num w:numId="18">
    <w:abstractNumId w:val="4"/>
  </w:num>
  <w:num w:numId="19">
    <w:abstractNumId w:val="3"/>
  </w:num>
  <w:num w:numId="20">
    <w:abstractNumId w:val="17"/>
  </w:num>
  <w:num w:numId="21">
    <w:abstractNumId w:val="1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C0D"/>
    <w:rsid w:val="00020ACD"/>
    <w:rsid w:val="0004220B"/>
    <w:rsid w:val="000F078F"/>
    <w:rsid w:val="00155B3B"/>
    <w:rsid w:val="001672CA"/>
    <w:rsid w:val="00181328"/>
    <w:rsid w:val="00183941"/>
    <w:rsid w:val="001A1A61"/>
    <w:rsid w:val="001A60E1"/>
    <w:rsid w:val="001D72A3"/>
    <w:rsid w:val="002366F2"/>
    <w:rsid w:val="0025448D"/>
    <w:rsid w:val="002927EF"/>
    <w:rsid w:val="002A23DC"/>
    <w:rsid w:val="002B5EC8"/>
    <w:rsid w:val="002C708F"/>
    <w:rsid w:val="002D4420"/>
    <w:rsid w:val="00310745"/>
    <w:rsid w:val="00310C00"/>
    <w:rsid w:val="00315A8E"/>
    <w:rsid w:val="00322A92"/>
    <w:rsid w:val="003570CF"/>
    <w:rsid w:val="00365FD2"/>
    <w:rsid w:val="00382241"/>
    <w:rsid w:val="003A21EB"/>
    <w:rsid w:val="003A5BED"/>
    <w:rsid w:val="003B25E0"/>
    <w:rsid w:val="003E51FC"/>
    <w:rsid w:val="003E7F4A"/>
    <w:rsid w:val="003F4A6C"/>
    <w:rsid w:val="004155BA"/>
    <w:rsid w:val="00456F12"/>
    <w:rsid w:val="00477DAA"/>
    <w:rsid w:val="004E1F5A"/>
    <w:rsid w:val="004E26E8"/>
    <w:rsid w:val="004E4C7D"/>
    <w:rsid w:val="004F6DF7"/>
    <w:rsid w:val="005041EF"/>
    <w:rsid w:val="00524D91"/>
    <w:rsid w:val="00524D9E"/>
    <w:rsid w:val="00525A9D"/>
    <w:rsid w:val="00537628"/>
    <w:rsid w:val="00541FE8"/>
    <w:rsid w:val="00551B8C"/>
    <w:rsid w:val="00553682"/>
    <w:rsid w:val="00554928"/>
    <w:rsid w:val="00570F8B"/>
    <w:rsid w:val="005D076B"/>
    <w:rsid w:val="005D2F34"/>
    <w:rsid w:val="005F76EC"/>
    <w:rsid w:val="00604062"/>
    <w:rsid w:val="00610650"/>
    <w:rsid w:val="00612278"/>
    <w:rsid w:val="00612552"/>
    <w:rsid w:val="0064390D"/>
    <w:rsid w:val="00674C64"/>
    <w:rsid w:val="006D1502"/>
    <w:rsid w:val="006D7BFA"/>
    <w:rsid w:val="007009A4"/>
    <w:rsid w:val="0072742F"/>
    <w:rsid w:val="00735CB1"/>
    <w:rsid w:val="00792C7D"/>
    <w:rsid w:val="00796F26"/>
    <w:rsid w:val="007D053B"/>
    <w:rsid w:val="007D230C"/>
    <w:rsid w:val="00811525"/>
    <w:rsid w:val="008424C3"/>
    <w:rsid w:val="008546FE"/>
    <w:rsid w:val="00860B47"/>
    <w:rsid w:val="00864FEE"/>
    <w:rsid w:val="0086601E"/>
    <w:rsid w:val="00870D29"/>
    <w:rsid w:val="008B0CA8"/>
    <w:rsid w:val="008F1F18"/>
    <w:rsid w:val="009128A6"/>
    <w:rsid w:val="00933573"/>
    <w:rsid w:val="009445D6"/>
    <w:rsid w:val="00962F94"/>
    <w:rsid w:val="009832C4"/>
    <w:rsid w:val="009901EC"/>
    <w:rsid w:val="00996798"/>
    <w:rsid w:val="009A142C"/>
    <w:rsid w:val="009A2FF6"/>
    <w:rsid w:val="009C5C8F"/>
    <w:rsid w:val="00A25944"/>
    <w:rsid w:val="00A302F7"/>
    <w:rsid w:val="00A52D94"/>
    <w:rsid w:val="00A67D70"/>
    <w:rsid w:val="00AA04AA"/>
    <w:rsid w:val="00AD6FE3"/>
    <w:rsid w:val="00AF115F"/>
    <w:rsid w:val="00B3348D"/>
    <w:rsid w:val="00B96975"/>
    <w:rsid w:val="00BC7525"/>
    <w:rsid w:val="00BF7378"/>
    <w:rsid w:val="00C0462D"/>
    <w:rsid w:val="00C30A7A"/>
    <w:rsid w:val="00C36485"/>
    <w:rsid w:val="00C45B76"/>
    <w:rsid w:val="00C65C78"/>
    <w:rsid w:val="00C8266E"/>
    <w:rsid w:val="00CB34B1"/>
    <w:rsid w:val="00CC3BB6"/>
    <w:rsid w:val="00CC6496"/>
    <w:rsid w:val="00CD0E53"/>
    <w:rsid w:val="00D1794E"/>
    <w:rsid w:val="00D35F18"/>
    <w:rsid w:val="00D52909"/>
    <w:rsid w:val="00D60864"/>
    <w:rsid w:val="00D7521E"/>
    <w:rsid w:val="00D84C0D"/>
    <w:rsid w:val="00D943AB"/>
    <w:rsid w:val="00DA0B48"/>
    <w:rsid w:val="00DE40CB"/>
    <w:rsid w:val="00DF3802"/>
    <w:rsid w:val="00E17542"/>
    <w:rsid w:val="00E236FB"/>
    <w:rsid w:val="00E379C4"/>
    <w:rsid w:val="00E5600D"/>
    <w:rsid w:val="00E91E41"/>
    <w:rsid w:val="00EA6F5E"/>
    <w:rsid w:val="00EC20BB"/>
    <w:rsid w:val="00F1157B"/>
    <w:rsid w:val="00F47C82"/>
    <w:rsid w:val="00F613CB"/>
    <w:rsid w:val="00F926EB"/>
    <w:rsid w:val="00FC76ED"/>
    <w:rsid w:val="00FC7BBE"/>
    <w:rsid w:val="00FE2AD4"/>
    <w:rsid w:val="00FE34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10C00"/>
  </w:style>
  <w:style w:type="paragraph" w:styleId="Nadpis1">
    <w:name w:val="heading 1"/>
    <w:basedOn w:val="Nadpis2"/>
    <w:next w:val="Zkladntext"/>
    <w:link w:val="Nadpis1Char"/>
    <w:qFormat/>
    <w:rsid w:val="003A5BED"/>
    <w:pPr>
      <w:pageBreakBefore/>
      <w:numPr>
        <w:ilvl w:val="0"/>
      </w:numPr>
      <w:spacing w:before="0" w:line="360" w:lineRule="exact"/>
      <w:outlineLvl w:val="0"/>
    </w:pPr>
    <w:rPr>
      <w:noProof/>
      <w:sz w:val="32"/>
    </w:rPr>
  </w:style>
  <w:style w:type="paragraph" w:styleId="Nadpis2">
    <w:name w:val="heading 2"/>
    <w:basedOn w:val="Zkladntext"/>
    <w:next w:val="Zkladntext"/>
    <w:link w:val="Nadpis2Char"/>
    <w:qFormat/>
    <w:rsid w:val="003A5BED"/>
    <w:pPr>
      <w:keepNext/>
      <w:numPr>
        <w:ilvl w:val="1"/>
        <w:numId w:val="18"/>
      </w:numPr>
      <w:spacing w:before="400" w:after="0" w:line="320" w:lineRule="exact"/>
      <w:jc w:val="left"/>
      <w:outlineLvl w:val="1"/>
    </w:pPr>
    <w:rPr>
      <w:b/>
      <w:color w:val="00338D"/>
      <w:sz w:val="28"/>
    </w:rPr>
  </w:style>
  <w:style w:type="paragraph" w:styleId="Nadpis3">
    <w:name w:val="heading 3"/>
    <w:basedOn w:val="Nadpis4"/>
    <w:next w:val="Zkladntext"/>
    <w:link w:val="Nadpis3Char"/>
    <w:qFormat/>
    <w:rsid w:val="003A5BED"/>
    <w:pPr>
      <w:numPr>
        <w:ilvl w:val="2"/>
      </w:numPr>
      <w:outlineLvl w:val="2"/>
    </w:pPr>
    <w:rPr>
      <w:b/>
      <w:i w:val="0"/>
    </w:rPr>
  </w:style>
  <w:style w:type="paragraph" w:styleId="Nadpis4">
    <w:name w:val="heading 4"/>
    <w:basedOn w:val="Nadpis5"/>
    <w:next w:val="Zkladntext"/>
    <w:link w:val="Nadpis4Char"/>
    <w:qFormat/>
    <w:rsid w:val="003A5BED"/>
    <w:pPr>
      <w:keepLines w:val="0"/>
      <w:numPr>
        <w:ilvl w:val="3"/>
        <w:numId w:val="18"/>
      </w:numPr>
      <w:spacing w:before="400" w:line="280" w:lineRule="exact"/>
      <w:outlineLvl w:val="3"/>
    </w:pPr>
    <w:rPr>
      <w:rFonts w:ascii="Arial" w:eastAsia="Times New Roman" w:hAnsi="Arial" w:cs="Times New Roman"/>
      <w:i/>
      <w:color w:val="00338D"/>
      <w:sz w:val="24"/>
      <w:szCs w:val="20"/>
    </w:rPr>
  </w:style>
  <w:style w:type="paragraph" w:styleId="Nadpis5">
    <w:name w:val="heading 5"/>
    <w:basedOn w:val="Normln"/>
    <w:next w:val="Normln"/>
    <w:link w:val="Nadpis5Char"/>
    <w:uiPriority w:val="9"/>
    <w:semiHidden/>
    <w:unhideWhenUsed/>
    <w:qFormat/>
    <w:rsid w:val="003A5BE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84C0D"/>
    <w:pPr>
      <w:ind w:left="720"/>
      <w:contextualSpacing/>
    </w:pPr>
  </w:style>
  <w:style w:type="paragraph" w:styleId="Textbubliny">
    <w:name w:val="Balloon Text"/>
    <w:basedOn w:val="Normln"/>
    <w:link w:val="TextbublinyChar"/>
    <w:uiPriority w:val="99"/>
    <w:semiHidden/>
    <w:unhideWhenUsed/>
    <w:rsid w:val="000F078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078F"/>
    <w:rPr>
      <w:rFonts w:ascii="Tahoma" w:hAnsi="Tahoma" w:cs="Tahoma"/>
      <w:sz w:val="16"/>
      <w:szCs w:val="16"/>
    </w:rPr>
  </w:style>
  <w:style w:type="paragraph" w:customStyle="1" w:styleId="Puntk">
    <w:name w:val="Puntík"/>
    <w:basedOn w:val="Normln"/>
    <w:rsid w:val="00D52909"/>
    <w:pPr>
      <w:numPr>
        <w:numId w:val="10"/>
      </w:numPr>
      <w:spacing w:line="240" w:lineRule="auto"/>
      <w:jc w:val="both"/>
    </w:pPr>
    <w:rPr>
      <w:rFonts w:ascii="Arial" w:eastAsia="Times New Roman" w:hAnsi="Arial" w:cs="Times New Roman"/>
      <w:sz w:val="20"/>
      <w:szCs w:val="20"/>
      <w:lang w:eastAsia="cs-CZ"/>
    </w:rPr>
  </w:style>
  <w:style w:type="paragraph" w:customStyle="1" w:styleId="Stylslovanodstavec-mjTun">
    <w:name w:val="Styl Číslovaný odstavec - můj + Tučné"/>
    <w:basedOn w:val="Normln"/>
    <w:rsid w:val="00870D29"/>
    <w:pPr>
      <w:numPr>
        <w:numId w:val="14"/>
      </w:numPr>
      <w:spacing w:after="80" w:line="240" w:lineRule="auto"/>
      <w:jc w:val="both"/>
    </w:pPr>
    <w:rPr>
      <w:rFonts w:ascii="Times New Roman" w:eastAsia="Times New Roman" w:hAnsi="Times New Roman" w:cs="Times New Roman"/>
      <w:b/>
      <w:bCs/>
      <w:sz w:val="24"/>
      <w:szCs w:val="24"/>
      <w:lang w:eastAsia="cs-CZ"/>
    </w:rPr>
  </w:style>
  <w:style w:type="paragraph" w:styleId="Zkladntext">
    <w:name w:val="Body Text"/>
    <w:basedOn w:val="Normln"/>
    <w:link w:val="ZkladntextChar"/>
    <w:qFormat/>
    <w:rsid w:val="00C8266E"/>
    <w:pPr>
      <w:spacing w:before="120" w:after="120" w:line="240" w:lineRule="auto"/>
      <w:jc w:val="both"/>
    </w:pPr>
    <w:rPr>
      <w:rFonts w:ascii="Arial" w:eastAsia="Times New Roman" w:hAnsi="Arial" w:cs="Times New Roman"/>
      <w:szCs w:val="20"/>
    </w:rPr>
  </w:style>
  <w:style w:type="character" w:customStyle="1" w:styleId="ZkladntextChar">
    <w:name w:val="Základní text Char"/>
    <w:basedOn w:val="Standardnpsmoodstavce"/>
    <w:link w:val="Zkladntext"/>
    <w:rsid w:val="00C8266E"/>
    <w:rPr>
      <w:rFonts w:ascii="Arial" w:eastAsia="Times New Roman" w:hAnsi="Arial" w:cs="Times New Roman"/>
      <w:szCs w:val="20"/>
    </w:rPr>
  </w:style>
  <w:style w:type="character" w:customStyle="1" w:styleId="Nadpis1Char">
    <w:name w:val="Nadpis 1 Char"/>
    <w:basedOn w:val="Standardnpsmoodstavce"/>
    <w:link w:val="Nadpis1"/>
    <w:rsid w:val="003A5BED"/>
    <w:rPr>
      <w:rFonts w:ascii="Arial" w:eastAsia="Times New Roman" w:hAnsi="Arial" w:cs="Times New Roman"/>
      <w:b/>
      <w:noProof/>
      <w:color w:val="00338D"/>
      <w:sz w:val="32"/>
      <w:szCs w:val="20"/>
    </w:rPr>
  </w:style>
  <w:style w:type="character" w:customStyle="1" w:styleId="Nadpis2Char">
    <w:name w:val="Nadpis 2 Char"/>
    <w:basedOn w:val="Standardnpsmoodstavce"/>
    <w:link w:val="Nadpis2"/>
    <w:rsid w:val="003A5BED"/>
    <w:rPr>
      <w:rFonts w:ascii="Arial" w:eastAsia="Times New Roman" w:hAnsi="Arial" w:cs="Times New Roman"/>
      <w:b/>
      <w:color w:val="00338D"/>
      <w:sz w:val="28"/>
      <w:szCs w:val="20"/>
    </w:rPr>
  </w:style>
  <w:style w:type="character" w:customStyle="1" w:styleId="Nadpis3Char">
    <w:name w:val="Nadpis 3 Char"/>
    <w:basedOn w:val="Standardnpsmoodstavce"/>
    <w:link w:val="Nadpis3"/>
    <w:rsid w:val="003A5BED"/>
    <w:rPr>
      <w:rFonts w:ascii="Arial" w:eastAsia="Times New Roman" w:hAnsi="Arial" w:cs="Times New Roman"/>
      <w:b/>
      <w:color w:val="00338D"/>
      <w:sz w:val="24"/>
      <w:szCs w:val="20"/>
    </w:rPr>
  </w:style>
  <w:style w:type="character" w:customStyle="1" w:styleId="Nadpis4Char">
    <w:name w:val="Nadpis 4 Char"/>
    <w:basedOn w:val="Standardnpsmoodstavce"/>
    <w:link w:val="Nadpis4"/>
    <w:rsid w:val="003A5BED"/>
    <w:rPr>
      <w:rFonts w:ascii="Arial" w:eastAsia="Times New Roman" w:hAnsi="Arial" w:cs="Times New Roman"/>
      <w:i/>
      <w:color w:val="00338D"/>
      <w:sz w:val="24"/>
      <w:szCs w:val="20"/>
    </w:rPr>
  </w:style>
  <w:style w:type="character" w:customStyle="1" w:styleId="Nadpis5Char">
    <w:name w:val="Nadpis 5 Char"/>
    <w:basedOn w:val="Standardnpsmoodstavce"/>
    <w:link w:val="Nadpis5"/>
    <w:uiPriority w:val="9"/>
    <w:semiHidden/>
    <w:rsid w:val="003A5BED"/>
    <w:rPr>
      <w:rFonts w:asciiTheme="majorHAnsi" w:eastAsiaTheme="majorEastAsia" w:hAnsiTheme="majorHAnsi" w:cstheme="majorBidi"/>
      <w:color w:val="243F60" w:themeColor="accent1" w:themeShade="7F"/>
    </w:rPr>
  </w:style>
  <w:style w:type="paragraph" w:styleId="Zhlav">
    <w:name w:val="header"/>
    <w:basedOn w:val="Normln"/>
    <w:link w:val="ZhlavChar"/>
    <w:uiPriority w:val="99"/>
    <w:unhideWhenUsed/>
    <w:rsid w:val="008B0C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B0CA8"/>
  </w:style>
  <w:style w:type="paragraph" w:styleId="Zpat">
    <w:name w:val="footer"/>
    <w:basedOn w:val="Normln"/>
    <w:link w:val="ZpatChar"/>
    <w:uiPriority w:val="99"/>
    <w:unhideWhenUsed/>
    <w:rsid w:val="008B0CA8"/>
    <w:pPr>
      <w:tabs>
        <w:tab w:val="center" w:pos="4536"/>
        <w:tab w:val="right" w:pos="9072"/>
      </w:tabs>
      <w:spacing w:after="0" w:line="240" w:lineRule="auto"/>
    </w:pPr>
  </w:style>
  <w:style w:type="character" w:customStyle="1" w:styleId="ZpatChar">
    <w:name w:val="Zápatí Char"/>
    <w:basedOn w:val="Standardnpsmoodstavce"/>
    <w:link w:val="Zpat"/>
    <w:uiPriority w:val="99"/>
    <w:rsid w:val="008B0CA8"/>
  </w:style>
  <w:style w:type="paragraph" w:styleId="Seznam">
    <w:name w:val="List"/>
    <w:basedOn w:val="Zkladntext"/>
    <w:semiHidden/>
    <w:rsid w:val="003F4A6C"/>
    <w:pPr>
      <w:overflowPunct w:val="0"/>
      <w:autoSpaceDE w:val="0"/>
      <w:autoSpaceDN w:val="0"/>
      <w:adjustRightInd w:val="0"/>
      <w:spacing w:line="240" w:lineRule="atLeast"/>
    </w:pPr>
    <w:rPr>
      <w:rFonts w:ascii="Arial Narrow" w:hAnsi="Arial Narrow"/>
      <w:sz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10C00"/>
  </w:style>
  <w:style w:type="paragraph" w:styleId="Nadpis1">
    <w:name w:val="heading 1"/>
    <w:basedOn w:val="Nadpis2"/>
    <w:next w:val="Zkladntext"/>
    <w:link w:val="Nadpis1Char"/>
    <w:qFormat/>
    <w:rsid w:val="003A5BED"/>
    <w:pPr>
      <w:pageBreakBefore/>
      <w:numPr>
        <w:ilvl w:val="0"/>
      </w:numPr>
      <w:spacing w:before="0" w:line="360" w:lineRule="exact"/>
      <w:outlineLvl w:val="0"/>
    </w:pPr>
    <w:rPr>
      <w:noProof/>
      <w:sz w:val="32"/>
    </w:rPr>
  </w:style>
  <w:style w:type="paragraph" w:styleId="Nadpis2">
    <w:name w:val="heading 2"/>
    <w:basedOn w:val="Zkladntext"/>
    <w:next w:val="Zkladntext"/>
    <w:link w:val="Nadpis2Char"/>
    <w:qFormat/>
    <w:rsid w:val="003A5BED"/>
    <w:pPr>
      <w:keepNext/>
      <w:numPr>
        <w:ilvl w:val="1"/>
        <w:numId w:val="18"/>
      </w:numPr>
      <w:spacing w:before="400" w:after="0" w:line="320" w:lineRule="exact"/>
      <w:jc w:val="left"/>
      <w:outlineLvl w:val="1"/>
    </w:pPr>
    <w:rPr>
      <w:b/>
      <w:color w:val="00338D"/>
      <w:sz w:val="28"/>
    </w:rPr>
  </w:style>
  <w:style w:type="paragraph" w:styleId="Nadpis3">
    <w:name w:val="heading 3"/>
    <w:basedOn w:val="Nadpis4"/>
    <w:next w:val="Zkladntext"/>
    <w:link w:val="Nadpis3Char"/>
    <w:qFormat/>
    <w:rsid w:val="003A5BED"/>
    <w:pPr>
      <w:numPr>
        <w:ilvl w:val="2"/>
      </w:numPr>
      <w:outlineLvl w:val="2"/>
    </w:pPr>
    <w:rPr>
      <w:b/>
      <w:i w:val="0"/>
    </w:rPr>
  </w:style>
  <w:style w:type="paragraph" w:styleId="Nadpis4">
    <w:name w:val="heading 4"/>
    <w:basedOn w:val="Nadpis5"/>
    <w:next w:val="Zkladntext"/>
    <w:link w:val="Nadpis4Char"/>
    <w:qFormat/>
    <w:rsid w:val="003A5BED"/>
    <w:pPr>
      <w:keepLines w:val="0"/>
      <w:numPr>
        <w:ilvl w:val="3"/>
        <w:numId w:val="18"/>
      </w:numPr>
      <w:spacing w:before="400" w:line="280" w:lineRule="exact"/>
      <w:outlineLvl w:val="3"/>
    </w:pPr>
    <w:rPr>
      <w:rFonts w:ascii="Arial" w:eastAsia="Times New Roman" w:hAnsi="Arial" w:cs="Times New Roman"/>
      <w:i/>
      <w:color w:val="00338D"/>
      <w:sz w:val="24"/>
      <w:szCs w:val="20"/>
    </w:rPr>
  </w:style>
  <w:style w:type="paragraph" w:styleId="Nadpis5">
    <w:name w:val="heading 5"/>
    <w:basedOn w:val="Normln"/>
    <w:next w:val="Normln"/>
    <w:link w:val="Nadpis5Char"/>
    <w:uiPriority w:val="9"/>
    <w:semiHidden/>
    <w:unhideWhenUsed/>
    <w:qFormat/>
    <w:rsid w:val="003A5BE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84C0D"/>
    <w:pPr>
      <w:ind w:left="720"/>
      <w:contextualSpacing/>
    </w:pPr>
  </w:style>
  <w:style w:type="paragraph" w:styleId="Textbubliny">
    <w:name w:val="Balloon Text"/>
    <w:basedOn w:val="Normln"/>
    <w:link w:val="TextbublinyChar"/>
    <w:uiPriority w:val="99"/>
    <w:semiHidden/>
    <w:unhideWhenUsed/>
    <w:rsid w:val="000F078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078F"/>
    <w:rPr>
      <w:rFonts w:ascii="Tahoma" w:hAnsi="Tahoma" w:cs="Tahoma"/>
      <w:sz w:val="16"/>
      <w:szCs w:val="16"/>
    </w:rPr>
  </w:style>
  <w:style w:type="paragraph" w:customStyle="1" w:styleId="Puntk">
    <w:name w:val="Puntík"/>
    <w:basedOn w:val="Normln"/>
    <w:rsid w:val="00D52909"/>
    <w:pPr>
      <w:numPr>
        <w:numId w:val="10"/>
      </w:numPr>
      <w:spacing w:line="240" w:lineRule="auto"/>
      <w:jc w:val="both"/>
    </w:pPr>
    <w:rPr>
      <w:rFonts w:ascii="Arial" w:eastAsia="Times New Roman" w:hAnsi="Arial" w:cs="Times New Roman"/>
      <w:sz w:val="20"/>
      <w:szCs w:val="20"/>
      <w:lang w:eastAsia="cs-CZ"/>
    </w:rPr>
  </w:style>
  <w:style w:type="paragraph" w:customStyle="1" w:styleId="Stylslovanodstavec-mjTun">
    <w:name w:val="Styl Číslovaný odstavec - můj + Tučné"/>
    <w:basedOn w:val="Normln"/>
    <w:rsid w:val="00870D29"/>
    <w:pPr>
      <w:numPr>
        <w:numId w:val="14"/>
      </w:numPr>
      <w:spacing w:after="80" w:line="240" w:lineRule="auto"/>
      <w:jc w:val="both"/>
    </w:pPr>
    <w:rPr>
      <w:rFonts w:ascii="Times New Roman" w:eastAsia="Times New Roman" w:hAnsi="Times New Roman" w:cs="Times New Roman"/>
      <w:b/>
      <w:bCs/>
      <w:sz w:val="24"/>
      <w:szCs w:val="24"/>
      <w:lang w:eastAsia="cs-CZ"/>
    </w:rPr>
  </w:style>
  <w:style w:type="paragraph" w:styleId="Zkladntext">
    <w:name w:val="Body Text"/>
    <w:basedOn w:val="Normln"/>
    <w:link w:val="ZkladntextChar"/>
    <w:qFormat/>
    <w:rsid w:val="00C8266E"/>
    <w:pPr>
      <w:spacing w:before="120" w:after="120" w:line="240" w:lineRule="auto"/>
      <w:jc w:val="both"/>
    </w:pPr>
    <w:rPr>
      <w:rFonts w:ascii="Arial" w:eastAsia="Times New Roman" w:hAnsi="Arial" w:cs="Times New Roman"/>
      <w:szCs w:val="20"/>
    </w:rPr>
  </w:style>
  <w:style w:type="character" w:customStyle="1" w:styleId="ZkladntextChar">
    <w:name w:val="Základní text Char"/>
    <w:basedOn w:val="Standardnpsmoodstavce"/>
    <w:link w:val="Zkladntext"/>
    <w:rsid w:val="00C8266E"/>
    <w:rPr>
      <w:rFonts w:ascii="Arial" w:eastAsia="Times New Roman" w:hAnsi="Arial" w:cs="Times New Roman"/>
      <w:szCs w:val="20"/>
    </w:rPr>
  </w:style>
  <w:style w:type="character" w:customStyle="1" w:styleId="Nadpis1Char">
    <w:name w:val="Nadpis 1 Char"/>
    <w:basedOn w:val="Standardnpsmoodstavce"/>
    <w:link w:val="Nadpis1"/>
    <w:rsid w:val="003A5BED"/>
    <w:rPr>
      <w:rFonts w:ascii="Arial" w:eastAsia="Times New Roman" w:hAnsi="Arial" w:cs="Times New Roman"/>
      <w:b/>
      <w:noProof/>
      <w:color w:val="00338D"/>
      <w:sz w:val="32"/>
      <w:szCs w:val="20"/>
    </w:rPr>
  </w:style>
  <w:style w:type="character" w:customStyle="1" w:styleId="Nadpis2Char">
    <w:name w:val="Nadpis 2 Char"/>
    <w:basedOn w:val="Standardnpsmoodstavce"/>
    <w:link w:val="Nadpis2"/>
    <w:rsid w:val="003A5BED"/>
    <w:rPr>
      <w:rFonts w:ascii="Arial" w:eastAsia="Times New Roman" w:hAnsi="Arial" w:cs="Times New Roman"/>
      <w:b/>
      <w:color w:val="00338D"/>
      <w:sz w:val="28"/>
      <w:szCs w:val="20"/>
    </w:rPr>
  </w:style>
  <w:style w:type="character" w:customStyle="1" w:styleId="Nadpis3Char">
    <w:name w:val="Nadpis 3 Char"/>
    <w:basedOn w:val="Standardnpsmoodstavce"/>
    <w:link w:val="Nadpis3"/>
    <w:rsid w:val="003A5BED"/>
    <w:rPr>
      <w:rFonts w:ascii="Arial" w:eastAsia="Times New Roman" w:hAnsi="Arial" w:cs="Times New Roman"/>
      <w:b/>
      <w:color w:val="00338D"/>
      <w:sz w:val="24"/>
      <w:szCs w:val="20"/>
    </w:rPr>
  </w:style>
  <w:style w:type="character" w:customStyle="1" w:styleId="Nadpis4Char">
    <w:name w:val="Nadpis 4 Char"/>
    <w:basedOn w:val="Standardnpsmoodstavce"/>
    <w:link w:val="Nadpis4"/>
    <w:rsid w:val="003A5BED"/>
    <w:rPr>
      <w:rFonts w:ascii="Arial" w:eastAsia="Times New Roman" w:hAnsi="Arial" w:cs="Times New Roman"/>
      <w:i/>
      <w:color w:val="00338D"/>
      <w:sz w:val="24"/>
      <w:szCs w:val="20"/>
    </w:rPr>
  </w:style>
  <w:style w:type="character" w:customStyle="1" w:styleId="Nadpis5Char">
    <w:name w:val="Nadpis 5 Char"/>
    <w:basedOn w:val="Standardnpsmoodstavce"/>
    <w:link w:val="Nadpis5"/>
    <w:uiPriority w:val="9"/>
    <w:semiHidden/>
    <w:rsid w:val="003A5BED"/>
    <w:rPr>
      <w:rFonts w:asciiTheme="majorHAnsi" w:eastAsiaTheme="majorEastAsia" w:hAnsiTheme="majorHAnsi" w:cstheme="majorBidi"/>
      <w:color w:val="243F60" w:themeColor="accent1" w:themeShade="7F"/>
    </w:rPr>
  </w:style>
  <w:style w:type="paragraph" w:styleId="Zhlav">
    <w:name w:val="header"/>
    <w:basedOn w:val="Normln"/>
    <w:link w:val="ZhlavChar"/>
    <w:uiPriority w:val="99"/>
    <w:unhideWhenUsed/>
    <w:rsid w:val="008B0C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B0CA8"/>
  </w:style>
  <w:style w:type="paragraph" w:styleId="Zpat">
    <w:name w:val="footer"/>
    <w:basedOn w:val="Normln"/>
    <w:link w:val="ZpatChar"/>
    <w:uiPriority w:val="99"/>
    <w:unhideWhenUsed/>
    <w:rsid w:val="008B0CA8"/>
    <w:pPr>
      <w:tabs>
        <w:tab w:val="center" w:pos="4536"/>
        <w:tab w:val="right" w:pos="9072"/>
      </w:tabs>
      <w:spacing w:after="0" w:line="240" w:lineRule="auto"/>
    </w:pPr>
  </w:style>
  <w:style w:type="character" w:customStyle="1" w:styleId="ZpatChar">
    <w:name w:val="Zápatí Char"/>
    <w:basedOn w:val="Standardnpsmoodstavce"/>
    <w:link w:val="Zpat"/>
    <w:uiPriority w:val="99"/>
    <w:rsid w:val="008B0CA8"/>
  </w:style>
  <w:style w:type="paragraph" w:styleId="Seznam">
    <w:name w:val="List"/>
    <w:basedOn w:val="Zkladntext"/>
    <w:semiHidden/>
    <w:rsid w:val="003F4A6C"/>
    <w:pPr>
      <w:overflowPunct w:val="0"/>
      <w:autoSpaceDE w:val="0"/>
      <w:autoSpaceDN w:val="0"/>
      <w:adjustRightInd w:val="0"/>
      <w:spacing w:line="240" w:lineRule="atLeast"/>
    </w:pPr>
    <w:rPr>
      <w:rFonts w:ascii="Arial Narrow" w:hAnsi="Arial Narrow"/>
      <w:sz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6245">
      <w:bodyDiv w:val="1"/>
      <w:marLeft w:val="0"/>
      <w:marRight w:val="0"/>
      <w:marTop w:val="0"/>
      <w:marBottom w:val="0"/>
      <w:divBdr>
        <w:top w:val="none" w:sz="0" w:space="0" w:color="auto"/>
        <w:left w:val="none" w:sz="0" w:space="0" w:color="auto"/>
        <w:bottom w:val="none" w:sz="0" w:space="0" w:color="auto"/>
        <w:right w:val="none" w:sz="0" w:space="0" w:color="auto"/>
      </w:divBdr>
    </w:div>
    <w:div w:id="155271042">
      <w:bodyDiv w:val="1"/>
      <w:marLeft w:val="0"/>
      <w:marRight w:val="0"/>
      <w:marTop w:val="0"/>
      <w:marBottom w:val="0"/>
      <w:divBdr>
        <w:top w:val="none" w:sz="0" w:space="0" w:color="auto"/>
        <w:left w:val="none" w:sz="0" w:space="0" w:color="auto"/>
        <w:bottom w:val="none" w:sz="0" w:space="0" w:color="auto"/>
        <w:right w:val="none" w:sz="0" w:space="0" w:color="auto"/>
      </w:divBdr>
    </w:div>
    <w:div w:id="222909664">
      <w:bodyDiv w:val="1"/>
      <w:marLeft w:val="0"/>
      <w:marRight w:val="0"/>
      <w:marTop w:val="0"/>
      <w:marBottom w:val="0"/>
      <w:divBdr>
        <w:top w:val="none" w:sz="0" w:space="0" w:color="auto"/>
        <w:left w:val="none" w:sz="0" w:space="0" w:color="auto"/>
        <w:bottom w:val="none" w:sz="0" w:space="0" w:color="auto"/>
        <w:right w:val="none" w:sz="0" w:space="0" w:color="auto"/>
      </w:divBdr>
    </w:div>
    <w:div w:id="393505264">
      <w:bodyDiv w:val="1"/>
      <w:marLeft w:val="0"/>
      <w:marRight w:val="0"/>
      <w:marTop w:val="0"/>
      <w:marBottom w:val="0"/>
      <w:divBdr>
        <w:top w:val="none" w:sz="0" w:space="0" w:color="auto"/>
        <w:left w:val="none" w:sz="0" w:space="0" w:color="auto"/>
        <w:bottom w:val="none" w:sz="0" w:space="0" w:color="auto"/>
        <w:right w:val="none" w:sz="0" w:space="0" w:color="auto"/>
      </w:divBdr>
    </w:div>
    <w:div w:id="522594064">
      <w:bodyDiv w:val="1"/>
      <w:marLeft w:val="0"/>
      <w:marRight w:val="0"/>
      <w:marTop w:val="0"/>
      <w:marBottom w:val="0"/>
      <w:divBdr>
        <w:top w:val="none" w:sz="0" w:space="0" w:color="auto"/>
        <w:left w:val="none" w:sz="0" w:space="0" w:color="auto"/>
        <w:bottom w:val="none" w:sz="0" w:space="0" w:color="auto"/>
        <w:right w:val="none" w:sz="0" w:space="0" w:color="auto"/>
      </w:divBdr>
    </w:div>
    <w:div w:id="586228981">
      <w:bodyDiv w:val="1"/>
      <w:marLeft w:val="0"/>
      <w:marRight w:val="0"/>
      <w:marTop w:val="0"/>
      <w:marBottom w:val="0"/>
      <w:divBdr>
        <w:top w:val="none" w:sz="0" w:space="0" w:color="auto"/>
        <w:left w:val="none" w:sz="0" w:space="0" w:color="auto"/>
        <w:bottom w:val="none" w:sz="0" w:space="0" w:color="auto"/>
        <w:right w:val="none" w:sz="0" w:space="0" w:color="auto"/>
      </w:divBdr>
    </w:div>
    <w:div w:id="597757373">
      <w:bodyDiv w:val="1"/>
      <w:marLeft w:val="0"/>
      <w:marRight w:val="0"/>
      <w:marTop w:val="0"/>
      <w:marBottom w:val="0"/>
      <w:divBdr>
        <w:top w:val="none" w:sz="0" w:space="0" w:color="auto"/>
        <w:left w:val="none" w:sz="0" w:space="0" w:color="auto"/>
        <w:bottom w:val="none" w:sz="0" w:space="0" w:color="auto"/>
        <w:right w:val="none" w:sz="0" w:space="0" w:color="auto"/>
      </w:divBdr>
    </w:div>
    <w:div w:id="651762886">
      <w:bodyDiv w:val="1"/>
      <w:marLeft w:val="0"/>
      <w:marRight w:val="0"/>
      <w:marTop w:val="0"/>
      <w:marBottom w:val="0"/>
      <w:divBdr>
        <w:top w:val="none" w:sz="0" w:space="0" w:color="auto"/>
        <w:left w:val="none" w:sz="0" w:space="0" w:color="auto"/>
        <w:bottom w:val="none" w:sz="0" w:space="0" w:color="auto"/>
        <w:right w:val="none" w:sz="0" w:space="0" w:color="auto"/>
      </w:divBdr>
    </w:div>
    <w:div w:id="687830593">
      <w:bodyDiv w:val="1"/>
      <w:marLeft w:val="0"/>
      <w:marRight w:val="0"/>
      <w:marTop w:val="0"/>
      <w:marBottom w:val="0"/>
      <w:divBdr>
        <w:top w:val="none" w:sz="0" w:space="0" w:color="auto"/>
        <w:left w:val="none" w:sz="0" w:space="0" w:color="auto"/>
        <w:bottom w:val="none" w:sz="0" w:space="0" w:color="auto"/>
        <w:right w:val="none" w:sz="0" w:space="0" w:color="auto"/>
      </w:divBdr>
    </w:div>
    <w:div w:id="862942361">
      <w:bodyDiv w:val="1"/>
      <w:marLeft w:val="0"/>
      <w:marRight w:val="0"/>
      <w:marTop w:val="0"/>
      <w:marBottom w:val="0"/>
      <w:divBdr>
        <w:top w:val="none" w:sz="0" w:space="0" w:color="auto"/>
        <w:left w:val="none" w:sz="0" w:space="0" w:color="auto"/>
        <w:bottom w:val="none" w:sz="0" w:space="0" w:color="auto"/>
        <w:right w:val="none" w:sz="0" w:space="0" w:color="auto"/>
      </w:divBdr>
    </w:div>
    <w:div w:id="875235207">
      <w:bodyDiv w:val="1"/>
      <w:marLeft w:val="0"/>
      <w:marRight w:val="0"/>
      <w:marTop w:val="0"/>
      <w:marBottom w:val="0"/>
      <w:divBdr>
        <w:top w:val="none" w:sz="0" w:space="0" w:color="auto"/>
        <w:left w:val="none" w:sz="0" w:space="0" w:color="auto"/>
        <w:bottom w:val="none" w:sz="0" w:space="0" w:color="auto"/>
        <w:right w:val="none" w:sz="0" w:space="0" w:color="auto"/>
      </w:divBdr>
    </w:div>
    <w:div w:id="939948757">
      <w:bodyDiv w:val="1"/>
      <w:marLeft w:val="0"/>
      <w:marRight w:val="0"/>
      <w:marTop w:val="0"/>
      <w:marBottom w:val="0"/>
      <w:divBdr>
        <w:top w:val="none" w:sz="0" w:space="0" w:color="auto"/>
        <w:left w:val="none" w:sz="0" w:space="0" w:color="auto"/>
        <w:bottom w:val="none" w:sz="0" w:space="0" w:color="auto"/>
        <w:right w:val="none" w:sz="0" w:space="0" w:color="auto"/>
      </w:divBdr>
    </w:div>
    <w:div w:id="965622550">
      <w:bodyDiv w:val="1"/>
      <w:marLeft w:val="0"/>
      <w:marRight w:val="0"/>
      <w:marTop w:val="0"/>
      <w:marBottom w:val="0"/>
      <w:divBdr>
        <w:top w:val="none" w:sz="0" w:space="0" w:color="auto"/>
        <w:left w:val="none" w:sz="0" w:space="0" w:color="auto"/>
        <w:bottom w:val="none" w:sz="0" w:space="0" w:color="auto"/>
        <w:right w:val="none" w:sz="0" w:space="0" w:color="auto"/>
      </w:divBdr>
    </w:div>
    <w:div w:id="979001391">
      <w:bodyDiv w:val="1"/>
      <w:marLeft w:val="0"/>
      <w:marRight w:val="0"/>
      <w:marTop w:val="0"/>
      <w:marBottom w:val="0"/>
      <w:divBdr>
        <w:top w:val="none" w:sz="0" w:space="0" w:color="auto"/>
        <w:left w:val="none" w:sz="0" w:space="0" w:color="auto"/>
        <w:bottom w:val="none" w:sz="0" w:space="0" w:color="auto"/>
        <w:right w:val="none" w:sz="0" w:space="0" w:color="auto"/>
      </w:divBdr>
    </w:div>
    <w:div w:id="986789486">
      <w:bodyDiv w:val="1"/>
      <w:marLeft w:val="0"/>
      <w:marRight w:val="0"/>
      <w:marTop w:val="0"/>
      <w:marBottom w:val="0"/>
      <w:divBdr>
        <w:top w:val="none" w:sz="0" w:space="0" w:color="auto"/>
        <w:left w:val="none" w:sz="0" w:space="0" w:color="auto"/>
        <w:bottom w:val="none" w:sz="0" w:space="0" w:color="auto"/>
        <w:right w:val="none" w:sz="0" w:space="0" w:color="auto"/>
      </w:divBdr>
    </w:div>
    <w:div w:id="1008943390">
      <w:bodyDiv w:val="1"/>
      <w:marLeft w:val="0"/>
      <w:marRight w:val="0"/>
      <w:marTop w:val="0"/>
      <w:marBottom w:val="0"/>
      <w:divBdr>
        <w:top w:val="none" w:sz="0" w:space="0" w:color="auto"/>
        <w:left w:val="none" w:sz="0" w:space="0" w:color="auto"/>
        <w:bottom w:val="none" w:sz="0" w:space="0" w:color="auto"/>
        <w:right w:val="none" w:sz="0" w:space="0" w:color="auto"/>
      </w:divBdr>
    </w:div>
    <w:div w:id="1064330777">
      <w:bodyDiv w:val="1"/>
      <w:marLeft w:val="0"/>
      <w:marRight w:val="0"/>
      <w:marTop w:val="0"/>
      <w:marBottom w:val="0"/>
      <w:divBdr>
        <w:top w:val="none" w:sz="0" w:space="0" w:color="auto"/>
        <w:left w:val="none" w:sz="0" w:space="0" w:color="auto"/>
        <w:bottom w:val="none" w:sz="0" w:space="0" w:color="auto"/>
        <w:right w:val="none" w:sz="0" w:space="0" w:color="auto"/>
      </w:divBdr>
    </w:div>
    <w:div w:id="1145003227">
      <w:bodyDiv w:val="1"/>
      <w:marLeft w:val="0"/>
      <w:marRight w:val="0"/>
      <w:marTop w:val="0"/>
      <w:marBottom w:val="0"/>
      <w:divBdr>
        <w:top w:val="none" w:sz="0" w:space="0" w:color="auto"/>
        <w:left w:val="none" w:sz="0" w:space="0" w:color="auto"/>
        <w:bottom w:val="none" w:sz="0" w:space="0" w:color="auto"/>
        <w:right w:val="none" w:sz="0" w:space="0" w:color="auto"/>
      </w:divBdr>
    </w:div>
    <w:div w:id="1167407037">
      <w:bodyDiv w:val="1"/>
      <w:marLeft w:val="0"/>
      <w:marRight w:val="0"/>
      <w:marTop w:val="0"/>
      <w:marBottom w:val="0"/>
      <w:divBdr>
        <w:top w:val="none" w:sz="0" w:space="0" w:color="auto"/>
        <w:left w:val="none" w:sz="0" w:space="0" w:color="auto"/>
        <w:bottom w:val="none" w:sz="0" w:space="0" w:color="auto"/>
        <w:right w:val="none" w:sz="0" w:space="0" w:color="auto"/>
      </w:divBdr>
    </w:div>
    <w:div w:id="1175535177">
      <w:bodyDiv w:val="1"/>
      <w:marLeft w:val="0"/>
      <w:marRight w:val="0"/>
      <w:marTop w:val="0"/>
      <w:marBottom w:val="0"/>
      <w:divBdr>
        <w:top w:val="none" w:sz="0" w:space="0" w:color="auto"/>
        <w:left w:val="none" w:sz="0" w:space="0" w:color="auto"/>
        <w:bottom w:val="none" w:sz="0" w:space="0" w:color="auto"/>
        <w:right w:val="none" w:sz="0" w:space="0" w:color="auto"/>
      </w:divBdr>
    </w:div>
    <w:div w:id="1244023086">
      <w:bodyDiv w:val="1"/>
      <w:marLeft w:val="0"/>
      <w:marRight w:val="0"/>
      <w:marTop w:val="0"/>
      <w:marBottom w:val="0"/>
      <w:divBdr>
        <w:top w:val="none" w:sz="0" w:space="0" w:color="auto"/>
        <w:left w:val="none" w:sz="0" w:space="0" w:color="auto"/>
        <w:bottom w:val="none" w:sz="0" w:space="0" w:color="auto"/>
        <w:right w:val="none" w:sz="0" w:space="0" w:color="auto"/>
      </w:divBdr>
    </w:div>
    <w:div w:id="1333487151">
      <w:bodyDiv w:val="1"/>
      <w:marLeft w:val="0"/>
      <w:marRight w:val="0"/>
      <w:marTop w:val="0"/>
      <w:marBottom w:val="0"/>
      <w:divBdr>
        <w:top w:val="none" w:sz="0" w:space="0" w:color="auto"/>
        <w:left w:val="none" w:sz="0" w:space="0" w:color="auto"/>
        <w:bottom w:val="none" w:sz="0" w:space="0" w:color="auto"/>
        <w:right w:val="none" w:sz="0" w:space="0" w:color="auto"/>
      </w:divBdr>
    </w:div>
    <w:div w:id="1542747757">
      <w:bodyDiv w:val="1"/>
      <w:marLeft w:val="0"/>
      <w:marRight w:val="0"/>
      <w:marTop w:val="0"/>
      <w:marBottom w:val="0"/>
      <w:divBdr>
        <w:top w:val="none" w:sz="0" w:space="0" w:color="auto"/>
        <w:left w:val="none" w:sz="0" w:space="0" w:color="auto"/>
        <w:bottom w:val="none" w:sz="0" w:space="0" w:color="auto"/>
        <w:right w:val="none" w:sz="0" w:space="0" w:color="auto"/>
      </w:divBdr>
    </w:div>
    <w:div w:id="1633437035">
      <w:bodyDiv w:val="1"/>
      <w:marLeft w:val="0"/>
      <w:marRight w:val="0"/>
      <w:marTop w:val="0"/>
      <w:marBottom w:val="0"/>
      <w:divBdr>
        <w:top w:val="none" w:sz="0" w:space="0" w:color="auto"/>
        <w:left w:val="none" w:sz="0" w:space="0" w:color="auto"/>
        <w:bottom w:val="none" w:sz="0" w:space="0" w:color="auto"/>
        <w:right w:val="none" w:sz="0" w:space="0" w:color="auto"/>
      </w:divBdr>
    </w:div>
    <w:div w:id="1663850905">
      <w:bodyDiv w:val="1"/>
      <w:marLeft w:val="0"/>
      <w:marRight w:val="0"/>
      <w:marTop w:val="0"/>
      <w:marBottom w:val="0"/>
      <w:divBdr>
        <w:top w:val="none" w:sz="0" w:space="0" w:color="auto"/>
        <w:left w:val="none" w:sz="0" w:space="0" w:color="auto"/>
        <w:bottom w:val="none" w:sz="0" w:space="0" w:color="auto"/>
        <w:right w:val="none" w:sz="0" w:space="0" w:color="auto"/>
      </w:divBdr>
    </w:div>
    <w:div w:id="1781296532">
      <w:bodyDiv w:val="1"/>
      <w:marLeft w:val="0"/>
      <w:marRight w:val="0"/>
      <w:marTop w:val="0"/>
      <w:marBottom w:val="0"/>
      <w:divBdr>
        <w:top w:val="none" w:sz="0" w:space="0" w:color="auto"/>
        <w:left w:val="none" w:sz="0" w:space="0" w:color="auto"/>
        <w:bottom w:val="none" w:sz="0" w:space="0" w:color="auto"/>
        <w:right w:val="none" w:sz="0" w:space="0" w:color="auto"/>
      </w:divBdr>
    </w:div>
    <w:div w:id="1928146442">
      <w:bodyDiv w:val="1"/>
      <w:marLeft w:val="0"/>
      <w:marRight w:val="0"/>
      <w:marTop w:val="0"/>
      <w:marBottom w:val="0"/>
      <w:divBdr>
        <w:top w:val="none" w:sz="0" w:space="0" w:color="auto"/>
        <w:left w:val="none" w:sz="0" w:space="0" w:color="auto"/>
        <w:bottom w:val="none" w:sz="0" w:space="0" w:color="auto"/>
        <w:right w:val="none" w:sz="0" w:space="0" w:color="auto"/>
      </w:divBdr>
    </w:div>
    <w:div w:id="1935936887">
      <w:bodyDiv w:val="1"/>
      <w:marLeft w:val="0"/>
      <w:marRight w:val="0"/>
      <w:marTop w:val="0"/>
      <w:marBottom w:val="0"/>
      <w:divBdr>
        <w:top w:val="none" w:sz="0" w:space="0" w:color="auto"/>
        <w:left w:val="none" w:sz="0" w:space="0" w:color="auto"/>
        <w:bottom w:val="none" w:sz="0" w:space="0" w:color="auto"/>
        <w:right w:val="none" w:sz="0" w:space="0" w:color="auto"/>
      </w:divBdr>
    </w:div>
    <w:div w:id="2051411935">
      <w:bodyDiv w:val="1"/>
      <w:marLeft w:val="0"/>
      <w:marRight w:val="0"/>
      <w:marTop w:val="0"/>
      <w:marBottom w:val="0"/>
      <w:divBdr>
        <w:top w:val="none" w:sz="0" w:space="0" w:color="auto"/>
        <w:left w:val="none" w:sz="0" w:space="0" w:color="auto"/>
        <w:bottom w:val="none" w:sz="0" w:space="0" w:color="auto"/>
        <w:right w:val="none" w:sz="0" w:space="0" w:color="auto"/>
      </w:divBdr>
    </w:div>
    <w:div w:id="2104185923">
      <w:bodyDiv w:val="1"/>
      <w:marLeft w:val="0"/>
      <w:marRight w:val="0"/>
      <w:marTop w:val="0"/>
      <w:marBottom w:val="0"/>
      <w:divBdr>
        <w:top w:val="none" w:sz="0" w:space="0" w:color="auto"/>
        <w:left w:val="none" w:sz="0" w:space="0" w:color="auto"/>
        <w:bottom w:val="none" w:sz="0" w:space="0" w:color="auto"/>
        <w:right w:val="none" w:sz="0" w:space="0" w:color="auto"/>
      </w:divBdr>
    </w:div>
    <w:div w:id="213374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package" Target="embeddings/Microsoft_Word_Document2.docx"/><Relationship Id="rId26" Type="http://schemas.openxmlformats.org/officeDocument/2006/relationships/oleObject" Target="embeddings/Microsoft_Excel_97-2003_Worksheet3.xls"/><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oleObject" Target="embeddings/oleObject1.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oleObject" Target="embeddings/Microsoft_Excel_97-2003_Worksheet2.xls"/><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oleObject" Target="embeddings/Microsoft_Excel_97-2003_Worksheet4.xls"/><Relationship Id="rId10" Type="http://schemas.openxmlformats.org/officeDocument/2006/relationships/diagramData" Target="diagrams/data1.xml"/><Relationship Id="rId19" Type="http://schemas.openxmlformats.org/officeDocument/2006/relationships/image" Target="media/image4.e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oleObject" Target="embeddings/Microsoft_Excel_97-2003_Worksheet1.xls"/><Relationship Id="rId27" Type="http://schemas.openxmlformats.org/officeDocument/2006/relationships/image" Target="media/image8.emf"/><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A0395F-3874-464E-A248-88EBCDA963E5}" type="doc">
      <dgm:prSet loTypeId="urn:microsoft.com/office/officeart/2005/8/layout/orgChart1" loCatId="hierarchy" qsTypeId="urn:microsoft.com/office/officeart/2005/8/quickstyle/simple5" qsCatId="simple" csTypeId="urn:microsoft.com/office/officeart/2005/8/colors/accent1_4" csCatId="accent1" phldr="1"/>
      <dgm:spPr/>
      <dgm:t>
        <a:bodyPr/>
        <a:lstStyle/>
        <a:p>
          <a:endParaRPr lang="cs-CZ"/>
        </a:p>
      </dgm:t>
    </dgm:pt>
    <dgm:pt modelId="{0F723CE1-0385-4958-82E2-2FB323614214}">
      <dgm:prSet phldrT="[Text]"/>
      <dgm:spPr>
        <a:solidFill>
          <a:schemeClr val="accent2"/>
        </a:solidFill>
      </dgm:spPr>
      <dgm:t>
        <a:bodyPr/>
        <a:lstStyle/>
        <a:p>
          <a:r>
            <a:rPr lang="cs-CZ"/>
            <a:t>Představenstvo</a:t>
          </a:r>
        </a:p>
      </dgm:t>
    </dgm:pt>
    <dgm:pt modelId="{FD1E3831-3ABF-4E2A-844B-65970967DD95}" type="parTrans" cxnId="{22256D52-7FB8-444E-993E-7689D72D27D1}">
      <dgm:prSet/>
      <dgm:spPr/>
      <dgm:t>
        <a:bodyPr/>
        <a:lstStyle/>
        <a:p>
          <a:endParaRPr lang="cs-CZ"/>
        </a:p>
      </dgm:t>
    </dgm:pt>
    <dgm:pt modelId="{DE480402-B867-4DEF-A8F3-593B7B4A9E70}" type="sibTrans" cxnId="{22256D52-7FB8-444E-993E-7689D72D27D1}">
      <dgm:prSet/>
      <dgm:spPr/>
      <dgm:t>
        <a:bodyPr/>
        <a:lstStyle/>
        <a:p>
          <a:endParaRPr lang="cs-CZ"/>
        </a:p>
      </dgm:t>
    </dgm:pt>
    <dgm:pt modelId="{C549B408-17D1-451F-AB90-898781A937BD}">
      <dgm:prSet/>
      <dgm:spPr/>
      <dgm:t>
        <a:bodyPr/>
        <a:lstStyle/>
        <a:p>
          <a:r>
            <a:rPr lang="cs-CZ"/>
            <a:t>Obchodní oddělení</a:t>
          </a:r>
        </a:p>
      </dgm:t>
    </dgm:pt>
    <dgm:pt modelId="{E23A00FC-53D8-4A0D-8B28-3E3FEFC09C67}" type="parTrans" cxnId="{2A9E1D1C-248D-482C-BEA9-163EC008ECDE}">
      <dgm:prSet/>
      <dgm:spPr/>
      <dgm:t>
        <a:bodyPr/>
        <a:lstStyle/>
        <a:p>
          <a:endParaRPr lang="cs-CZ"/>
        </a:p>
      </dgm:t>
    </dgm:pt>
    <dgm:pt modelId="{B9B599D4-0DDB-493E-B73E-EB2E6D8B51FD}" type="sibTrans" cxnId="{2A9E1D1C-248D-482C-BEA9-163EC008ECDE}">
      <dgm:prSet/>
      <dgm:spPr/>
      <dgm:t>
        <a:bodyPr/>
        <a:lstStyle/>
        <a:p>
          <a:endParaRPr lang="cs-CZ"/>
        </a:p>
      </dgm:t>
    </dgm:pt>
    <dgm:pt modelId="{92F8BC11-3B27-4418-927F-2CE2D015A294}">
      <dgm:prSet/>
      <dgm:spPr/>
      <dgm:t>
        <a:bodyPr/>
        <a:lstStyle/>
        <a:p>
          <a:r>
            <a:rPr lang="cs-CZ"/>
            <a:t>Oddělení likvidace</a:t>
          </a:r>
        </a:p>
      </dgm:t>
    </dgm:pt>
    <dgm:pt modelId="{5815322D-B99A-4030-8B93-02ED5F2BC950}" type="parTrans" cxnId="{647D7044-7C71-4141-A9C0-1F01BA275921}">
      <dgm:prSet/>
      <dgm:spPr/>
      <dgm:t>
        <a:bodyPr/>
        <a:lstStyle/>
        <a:p>
          <a:endParaRPr lang="cs-CZ"/>
        </a:p>
      </dgm:t>
    </dgm:pt>
    <dgm:pt modelId="{E6BC4B4B-B2DE-4E82-91AB-B9EF7A05A5C3}" type="sibTrans" cxnId="{647D7044-7C71-4141-A9C0-1F01BA275921}">
      <dgm:prSet/>
      <dgm:spPr/>
      <dgm:t>
        <a:bodyPr/>
        <a:lstStyle/>
        <a:p>
          <a:endParaRPr lang="cs-CZ"/>
        </a:p>
      </dgm:t>
    </dgm:pt>
    <dgm:pt modelId="{2991E5B5-F333-4A1F-8B2E-A8A165DBEE5C}">
      <dgm:prSet/>
      <dgm:spPr/>
      <dgm:t>
        <a:bodyPr/>
        <a:lstStyle/>
        <a:p>
          <a:r>
            <a:rPr lang="cs-CZ"/>
            <a:t>Ekonomické oddělení</a:t>
          </a:r>
        </a:p>
      </dgm:t>
    </dgm:pt>
    <dgm:pt modelId="{A10CF979-E9E4-44E2-95DB-8DD2A2B66A32}" type="parTrans" cxnId="{17BEEE4D-9B4F-4136-942A-C78FF66D7ACB}">
      <dgm:prSet/>
      <dgm:spPr/>
      <dgm:t>
        <a:bodyPr/>
        <a:lstStyle/>
        <a:p>
          <a:endParaRPr lang="cs-CZ"/>
        </a:p>
      </dgm:t>
    </dgm:pt>
    <dgm:pt modelId="{C21A9ABB-C6B2-4A5D-87B3-9197B7F2ADA6}" type="sibTrans" cxnId="{17BEEE4D-9B4F-4136-942A-C78FF66D7ACB}">
      <dgm:prSet/>
      <dgm:spPr/>
      <dgm:t>
        <a:bodyPr/>
        <a:lstStyle/>
        <a:p>
          <a:endParaRPr lang="cs-CZ"/>
        </a:p>
      </dgm:t>
    </dgm:pt>
    <dgm:pt modelId="{07BBBF04-097C-4FE9-ABF9-8766D5B24296}">
      <dgm:prSet/>
      <dgm:spPr/>
      <dgm:t>
        <a:bodyPr/>
        <a:lstStyle/>
        <a:p>
          <a:r>
            <a:rPr lang="cs-CZ"/>
            <a:t>Vedoucí obchodního oddělení</a:t>
          </a:r>
        </a:p>
      </dgm:t>
    </dgm:pt>
    <dgm:pt modelId="{D39398B9-1109-40F3-8466-FE47D86F9986}" type="parTrans" cxnId="{DCA9DE59-2872-450A-9D77-9D6C7CF85208}">
      <dgm:prSet/>
      <dgm:spPr/>
      <dgm:t>
        <a:bodyPr/>
        <a:lstStyle/>
        <a:p>
          <a:endParaRPr lang="cs-CZ"/>
        </a:p>
      </dgm:t>
    </dgm:pt>
    <dgm:pt modelId="{2A0A8F1C-91B5-47D3-8E44-6A42C006A1DE}" type="sibTrans" cxnId="{DCA9DE59-2872-450A-9D77-9D6C7CF85208}">
      <dgm:prSet/>
      <dgm:spPr/>
      <dgm:t>
        <a:bodyPr/>
        <a:lstStyle/>
        <a:p>
          <a:endParaRPr lang="cs-CZ"/>
        </a:p>
      </dgm:t>
    </dgm:pt>
    <dgm:pt modelId="{8D1A9456-0C63-478A-9990-3CA800D3BE00}">
      <dgm:prSet/>
      <dgm:spPr/>
      <dgm:t>
        <a:bodyPr/>
        <a:lstStyle/>
        <a:p>
          <a:r>
            <a:rPr lang="cs-CZ"/>
            <a:t>Administrativa obchodního oddělení</a:t>
          </a:r>
        </a:p>
      </dgm:t>
    </dgm:pt>
    <dgm:pt modelId="{7639FAA8-130D-484D-B808-6AA44DD4E639}" type="parTrans" cxnId="{22B1B18C-2E34-4E73-9224-CB245F6F0808}">
      <dgm:prSet/>
      <dgm:spPr/>
      <dgm:t>
        <a:bodyPr/>
        <a:lstStyle/>
        <a:p>
          <a:endParaRPr lang="cs-CZ"/>
        </a:p>
      </dgm:t>
    </dgm:pt>
    <dgm:pt modelId="{4082BBBD-F815-4C32-BD6E-B40A2FE0ADA2}" type="sibTrans" cxnId="{22B1B18C-2E34-4E73-9224-CB245F6F0808}">
      <dgm:prSet/>
      <dgm:spPr/>
      <dgm:t>
        <a:bodyPr/>
        <a:lstStyle/>
        <a:p>
          <a:endParaRPr lang="cs-CZ"/>
        </a:p>
      </dgm:t>
    </dgm:pt>
    <dgm:pt modelId="{0312EA1B-59AD-4085-9303-53EB1AE9255A}">
      <dgm:prSet/>
      <dgm:spPr/>
      <dgm:t>
        <a:bodyPr/>
        <a:lstStyle/>
        <a:p>
          <a:r>
            <a:rPr lang="cs-CZ"/>
            <a:t>Obchodní referent</a:t>
          </a:r>
        </a:p>
      </dgm:t>
    </dgm:pt>
    <dgm:pt modelId="{D09D2284-3AE6-483D-AB0E-9325A0D5C4DD}" type="parTrans" cxnId="{5325C951-4B68-4422-9375-884EC6A0F69C}">
      <dgm:prSet/>
      <dgm:spPr/>
      <dgm:t>
        <a:bodyPr/>
        <a:lstStyle/>
        <a:p>
          <a:endParaRPr lang="cs-CZ"/>
        </a:p>
      </dgm:t>
    </dgm:pt>
    <dgm:pt modelId="{DCCC262F-7878-48AD-8277-D6BD5A6EE639}" type="sibTrans" cxnId="{5325C951-4B68-4422-9375-884EC6A0F69C}">
      <dgm:prSet/>
      <dgm:spPr/>
      <dgm:t>
        <a:bodyPr/>
        <a:lstStyle/>
        <a:p>
          <a:endParaRPr lang="cs-CZ"/>
        </a:p>
      </dgm:t>
    </dgm:pt>
    <dgm:pt modelId="{2E5BD243-3325-4872-B8E0-272DC5A7C891}">
      <dgm:prSet/>
      <dgm:spPr/>
      <dgm:t>
        <a:bodyPr/>
        <a:lstStyle/>
        <a:p>
          <a:r>
            <a:rPr lang="cs-CZ"/>
            <a:t>Vedoucí likvidace</a:t>
          </a:r>
        </a:p>
      </dgm:t>
    </dgm:pt>
    <dgm:pt modelId="{5C0FF39D-4572-4816-8D84-6E81223F95C0}" type="parTrans" cxnId="{1BB0433D-4295-468C-98FB-F01407771A69}">
      <dgm:prSet/>
      <dgm:spPr/>
      <dgm:t>
        <a:bodyPr/>
        <a:lstStyle/>
        <a:p>
          <a:endParaRPr lang="cs-CZ"/>
        </a:p>
      </dgm:t>
    </dgm:pt>
    <dgm:pt modelId="{D564DBCB-75AB-4A86-AEC9-845BB5114CE7}" type="sibTrans" cxnId="{1BB0433D-4295-468C-98FB-F01407771A69}">
      <dgm:prSet/>
      <dgm:spPr/>
      <dgm:t>
        <a:bodyPr/>
        <a:lstStyle/>
        <a:p>
          <a:endParaRPr lang="cs-CZ"/>
        </a:p>
      </dgm:t>
    </dgm:pt>
    <dgm:pt modelId="{DE92C6F3-B207-46F4-92EF-C1550B6E67DD}">
      <dgm:prSet/>
      <dgm:spPr/>
      <dgm:t>
        <a:bodyPr/>
        <a:lstStyle/>
        <a:p>
          <a:r>
            <a:rPr lang="cs-CZ"/>
            <a:t>Likvidátoři</a:t>
          </a:r>
        </a:p>
      </dgm:t>
    </dgm:pt>
    <dgm:pt modelId="{27C7C60B-6083-43CE-98F1-77A0426F5475}" type="parTrans" cxnId="{5F8C6096-BBD4-4B74-9555-F47A33C3AAD3}">
      <dgm:prSet/>
      <dgm:spPr/>
      <dgm:t>
        <a:bodyPr/>
        <a:lstStyle/>
        <a:p>
          <a:endParaRPr lang="cs-CZ"/>
        </a:p>
      </dgm:t>
    </dgm:pt>
    <dgm:pt modelId="{14221B72-18FD-4E7F-891B-07C016DA8F9D}" type="sibTrans" cxnId="{5F8C6096-BBD4-4B74-9555-F47A33C3AAD3}">
      <dgm:prSet/>
      <dgm:spPr/>
      <dgm:t>
        <a:bodyPr/>
        <a:lstStyle/>
        <a:p>
          <a:endParaRPr lang="cs-CZ"/>
        </a:p>
      </dgm:t>
    </dgm:pt>
    <dgm:pt modelId="{8D94427B-4652-41FA-B452-DFDEC63E2E2D}">
      <dgm:prSet/>
      <dgm:spPr/>
      <dgm:t>
        <a:bodyPr/>
        <a:lstStyle/>
        <a:p>
          <a:r>
            <a:rPr lang="cs-CZ"/>
            <a:t>Vedoucí ekonomického oddělení</a:t>
          </a:r>
        </a:p>
      </dgm:t>
    </dgm:pt>
    <dgm:pt modelId="{91B3813C-89BF-4308-BFBA-1EC3F7F13183}" type="parTrans" cxnId="{48132F05-7E95-49C8-BADB-1FC8C7C103C9}">
      <dgm:prSet/>
      <dgm:spPr/>
      <dgm:t>
        <a:bodyPr/>
        <a:lstStyle/>
        <a:p>
          <a:endParaRPr lang="cs-CZ"/>
        </a:p>
      </dgm:t>
    </dgm:pt>
    <dgm:pt modelId="{17D7E5F5-B37C-4C0E-9C0B-080A8472D365}" type="sibTrans" cxnId="{48132F05-7E95-49C8-BADB-1FC8C7C103C9}">
      <dgm:prSet/>
      <dgm:spPr/>
      <dgm:t>
        <a:bodyPr/>
        <a:lstStyle/>
        <a:p>
          <a:endParaRPr lang="cs-CZ"/>
        </a:p>
      </dgm:t>
    </dgm:pt>
    <dgm:pt modelId="{007B9AAD-9556-4857-B6D1-C6CD5ABDDD8A}">
      <dgm:prSet/>
      <dgm:spPr/>
      <dgm:t>
        <a:bodyPr/>
        <a:lstStyle/>
        <a:p>
          <a:r>
            <a:rPr lang="cs-CZ"/>
            <a:t>Účetní</a:t>
          </a:r>
        </a:p>
      </dgm:t>
    </dgm:pt>
    <dgm:pt modelId="{98B143C2-DB9C-4A15-A3C0-2F34B437AC2B}" type="parTrans" cxnId="{FE977BA7-AE3A-4B43-B618-1CF54F688FA5}">
      <dgm:prSet/>
      <dgm:spPr/>
      <dgm:t>
        <a:bodyPr/>
        <a:lstStyle/>
        <a:p>
          <a:endParaRPr lang="cs-CZ"/>
        </a:p>
      </dgm:t>
    </dgm:pt>
    <dgm:pt modelId="{ABE0BC24-AB9C-4AA7-AC42-FBCAF01255A8}" type="sibTrans" cxnId="{FE977BA7-AE3A-4B43-B618-1CF54F688FA5}">
      <dgm:prSet/>
      <dgm:spPr/>
      <dgm:t>
        <a:bodyPr/>
        <a:lstStyle/>
        <a:p>
          <a:endParaRPr lang="cs-CZ"/>
        </a:p>
      </dgm:t>
    </dgm:pt>
    <dgm:pt modelId="{519754E0-5B57-49B5-B013-E0803DCB3FC1}">
      <dgm:prSet/>
      <dgm:spPr/>
      <dgm:t>
        <a:bodyPr/>
        <a:lstStyle/>
        <a:p>
          <a:r>
            <a:rPr lang="cs-CZ"/>
            <a:t>Administrativa likvidace</a:t>
          </a:r>
        </a:p>
      </dgm:t>
    </dgm:pt>
    <dgm:pt modelId="{FCBC4888-FAA1-4E07-A16A-CEF009FEED51}" type="parTrans" cxnId="{E0C747D7-004C-4E65-A6F3-3138606AACAC}">
      <dgm:prSet/>
      <dgm:spPr/>
      <dgm:t>
        <a:bodyPr/>
        <a:lstStyle/>
        <a:p>
          <a:endParaRPr lang="cs-CZ"/>
        </a:p>
      </dgm:t>
    </dgm:pt>
    <dgm:pt modelId="{7F2D5BF3-7832-4C83-AA8C-76FE14AB0471}" type="sibTrans" cxnId="{E0C747D7-004C-4E65-A6F3-3138606AACAC}">
      <dgm:prSet/>
      <dgm:spPr/>
      <dgm:t>
        <a:bodyPr/>
        <a:lstStyle/>
        <a:p>
          <a:endParaRPr lang="cs-CZ"/>
        </a:p>
      </dgm:t>
    </dgm:pt>
    <dgm:pt modelId="{1D233158-823F-43CE-8F0D-1F61742FA33E}">
      <dgm:prSet/>
      <dgm:spPr>
        <a:solidFill>
          <a:srgbClr val="FF0000"/>
        </a:solidFill>
      </dgm:spPr>
      <dgm:t>
        <a:bodyPr/>
        <a:lstStyle/>
        <a:p>
          <a:r>
            <a:rPr lang="cs-CZ" b="1"/>
            <a:t>Funkce Compliance</a:t>
          </a:r>
        </a:p>
      </dgm:t>
    </dgm:pt>
    <dgm:pt modelId="{A01124DC-EA98-4E3F-970A-4D1DC983AEB4}" type="parTrans" cxnId="{8B22AECF-3649-4F74-83EF-60BA57756443}">
      <dgm:prSet/>
      <dgm:spPr/>
      <dgm:t>
        <a:bodyPr/>
        <a:lstStyle/>
        <a:p>
          <a:endParaRPr lang="cs-CZ"/>
        </a:p>
      </dgm:t>
    </dgm:pt>
    <dgm:pt modelId="{5C4B37EC-3C98-4478-AE13-E6A015A06DB5}" type="sibTrans" cxnId="{8B22AECF-3649-4F74-83EF-60BA57756443}">
      <dgm:prSet/>
      <dgm:spPr/>
      <dgm:t>
        <a:bodyPr/>
        <a:lstStyle/>
        <a:p>
          <a:endParaRPr lang="cs-CZ"/>
        </a:p>
      </dgm:t>
    </dgm:pt>
    <dgm:pt modelId="{2A1D1A96-2B95-4049-8978-83DFAA90D5A4}">
      <dgm:prSet phldrT="[Text]"/>
      <dgm:spPr/>
      <dgm:t>
        <a:bodyPr/>
        <a:lstStyle/>
        <a:p>
          <a:r>
            <a:rPr lang="cs-CZ"/>
            <a:t>Výkonný ředitel</a:t>
          </a:r>
        </a:p>
      </dgm:t>
    </dgm:pt>
    <dgm:pt modelId="{445B7AF4-620E-426C-9787-2B2A1FD1B8D1}" type="parTrans" cxnId="{535F11A7-0809-4700-B3C1-FDD5A07A1037}">
      <dgm:prSet/>
      <dgm:spPr/>
      <dgm:t>
        <a:bodyPr/>
        <a:lstStyle/>
        <a:p>
          <a:endParaRPr lang="cs-CZ"/>
        </a:p>
      </dgm:t>
    </dgm:pt>
    <dgm:pt modelId="{DDCE2969-2FC3-4197-8A67-B89ACB170335}" type="sibTrans" cxnId="{535F11A7-0809-4700-B3C1-FDD5A07A1037}">
      <dgm:prSet/>
      <dgm:spPr/>
      <dgm:t>
        <a:bodyPr/>
        <a:lstStyle/>
        <a:p>
          <a:endParaRPr lang="cs-CZ"/>
        </a:p>
      </dgm:t>
    </dgm:pt>
    <dgm:pt modelId="{0B334D69-55A7-4FBA-ABEC-817B8B3C95C1}">
      <dgm:prSet/>
      <dgm:spPr>
        <a:solidFill>
          <a:srgbClr val="FF0000"/>
        </a:solidFill>
      </dgm:spPr>
      <dgm:t>
        <a:bodyPr/>
        <a:lstStyle/>
        <a:p>
          <a:r>
            <a:rPr lang="cs-CZ" b="1"/>
            <a:t>Funkce vnitřního auditu + vnitřní kontroly</a:t>
          </a:r>
        </a:p>
      </dgm:t>
    </dgm:pt>
    <dgm:pt modelId="{B2DB3173-A48D-466F-B26C-BC0F34927F34}" type="parTrans" cxnId="{55E7A340-F7AF-4166-81C3-58040B066718}">
      <dgm:prSet/>
      <dgm:spPr/>
      <dgm:t>
        <a:bodyPr/>
        <a:lstStyle/>
        <a:p>
          <a:endParaRPr lang="cs-CZ"/>
        </a:p>
      </dgm:t>
    </dgm:pt>
    <dgm:pt modelId="{501520CB-A47F-4814-894B-A41B57F0544B}" type="sibTrans" cxnId="{55E7A340-F7AF-4166-81C3-58040B066718}">
      <dgm:prSet/>
      <dgm:spPr/>
      <dgm:t>
        <a:bodyPr/>
        <a:lstStyle/>
        <a:p>
          <a:endParaRPr lang="cs-CZ"/>
        </a:p>
      </dgm:t>
    </dgm:pt>
    <dgm:pt modelId="{2E43376C-013F-4979-9141-D699275B84A1}">
      <dgm:prSet/>
      <dgm:spPr>
        <a:solidFill>
          <a:srgbClr val="FF0000"/>
        </a:solidFill>
      </dgm:spPr>
      <dgm:t>
        <a:bodyPr/>
        <a:lstStyle/>
        <a:p>
          <a:r>
            <a:rPr lang="cs-CZ" b="1"/>
            <a:t>Výbor </a:t>
          </a:r>
        </a:p>
        <a:p>
          <a:r>
            <a:rPr lang="cs-CZ" b="1"/>
            <a:t>pro řízení rizik (Risk manager)</a:t>
          </a:r>
        </a:p>
      </dgm:t>
    </dgm:pt>
    <dgm:pt modelId="{98FDD8EA-E58A-4B5D-AF8A-FBE410F10881}" type="parTrans" cxnId="{A47ECFB8-ECBF-4434-BF7E-280BE1D50052}">
      <dgm:prSet/>
      <dgm:spPr/>
      <dgm:t>
        <a:bodyPr/>
        <a:lstStyle/>
        <a:p>
          <a:endParaRPr lang="cs-CZ"/>
        </a:p>
      </dgm:t>
    </dgm:pt>
    <dgm:pt modelId="{9FC8DBE0-3386-4281-A7F8-1A525339D1F8}" type="sibTrans" cxnId="{A47ECFB8-ECBF-4434-BF7E-280BE1D50052}">
      <dgm:prSet/>
      <dgm:spPr/>
      <dgm:t>
        <a:bodyPr/>
        <a:lstStyle/>
        <a:p>
          <a:endParaRPr lang="cs-CZ"/>
        </a:p>
      </dgm:t>
    </dgm:pt>
    <dgm:pt modelId="{DA47E0A8-7FAC-459C-B107-3A16D6DFA1A1}">
      <dgm:prSet/>
      <dgm:spPr>
        <a:solidFill>
          <a:srgbClr val="FF0000"/>
        </a:solidFill>
      </dgm:spPr>
      <dgm:t>
        <a:bodyPr/>
        <a:lstStyle/>
        <a:p>
          <a:r>
            <a:rPr lang="cs-CZ" b="1"/>
            <a:t>Pojistně matematická funkce</a:t>
          </a:r>
        </a:p>
      </dgm:t>
    </dgm:pt>
    <dgm:pt modelId="{CAED7637-7CE8-45B0-9DFB-8DCE96649BFD}" type="parTrans" cxnId="{A3DBE067-F8D0-4E4E-B43E-ABD93D1B12D8}">
      <dgm:prSet/>
      <dgm:spPr/>
      <dgm:t>
        <a:bodyPr/>
        <a:lstStyle/>
        <a:p>
          <a:endParaRPr lang="cs-CZ"/>
        </a:p>
      </dgm:t>
    </dgm:pt>
    <dgm:pt modelId="{AC76C18D-EB30-4F7C-9046-49A4A8934ACC}" type="sibTrans" cxnId="{A3DBE067-F8D0-4E4E-B43E-ABD93D1B12D8}">
      <dgm:prSet/>
      <dgm:spPr/>
      <dgm:t>
        <a:bodyPr/>
        <a:lstStyle/>
        <a:p>
          <a:endParaRPr lang="cs-CZ"/>
        </a:p>
      </dgm:t>
    </dgm:pt>
    <dgm:pt modelId="{EFAA4F95-CB5F-42A5-AFB2-F4EBB8371406}" type="pres">
      <dgm:prSet presAssocID="{1FA0395F-3874-464E-A248-88EBCDA963E5}" presName="hierChild1" presStyleCnt="0">
        <dgm:presLayoutVars>
          <dgm:orgChart val="1"/>
          <dgm:chPref val="1"/>
          <dgm:dir/>
          <dgm:animOne val="branch"/>
          <dgm:animLvl val="lvl"/>
          <dgm:resizeHandles/>
        </dgm:presLayoutVars>
      </dgm:prSet>
      <dgm:spPr/>
      <dgm:t>
        <a:bodyPr/>
        <a:lstStyle/>
        <a:p>
          <a:endParaRPr lang="cs-CZ"/>
        </a:p>
      </dgm:t>
    </dgm:pt>
    <dgm:pt modelId="{B77ABF52-407A-4B5A-9E7C-4A0606C1CE8C}" type="pres">
      <dgm:prSet presAssocID="{0F723CE1-0385-4958-82E2-2FB323614214}" presName="hierRoot1" presStyleCnt="0">
        <dgm:presLayoutVars>
          <dgm:hierBranch val="init"/>
        </dgm:presLayoutVars>
      </dgm:prSet>
      <dgm:spPr/>
      <dgm:t>
        <a:bodyPr/>
        <a:lstStyle/>
        <a:p>
          <a:endParaRPr lang="cs-CZ"/>
        </a:p>
      </dgm:t>
    </dgm:pt>
    <dgm:pt modelId="{A66DBA62-72E9-4ACF-9B3A-E3BF80F3D680}" type="pres">
      <dgm:prSet presAssocID="{0F723CE1-0385-4958-82E2-2FB323614214}" presName="rootComposite1" presStyleCnt="0"/>
      <dgm:spPr/>
      <dgm:t>
        <a:bodyPr/>
        <a:lstStyle/>
        <a:p>
          <a:endParaRPr lang="cs-CZ"/>
        </a:p>
      </dgm:t>
    </dgm:pt>
    <dgm:pt modelId="{D3BC3F22-AF42-4641-B4CD-D58317E64C35}" type="pres">
      <dgm:prSet presAssocID="{0F723CE1-0385-4958-82E2-2FB323614214}" presName="rootText1" presStyleLbl="node0" presStyleIdx="0" presStyleCnt="5" custLinFactNeighborY="3387">
        <dgm:presLayoutVars>
          <dgm:chPref val="3"/>
        </dgm:presLayoutVars>
      </dgm:prSet>
      <dgm:spPr/>
      <dgm:t>
        <a:bodyPr/>
        <a:lstStyle/>
        <a:p>
          <a:endParaRPr lang="cs-CZ"/>
        </a:p>
      </dgm:t>
    </dgm:pt>
    <dgm:pt modelId="{1E9D5B74-CCEE-40F2-98B8-D3157EBCC0CB}" type="pres">
      <dgm:prSet presAssocID="{0F723CE1-0385-4958-82E2-2FB323614214}" presName="rootConnector1" presStyleLbl="node1" presStyleIdx="0" presStyleCnt="0"/>
      <dgm:spPr/>
      <dgm:t>
        <a:bodyPr/>
        <a:lstStyle/>
        <a:p>
          <a:endParaRPr lang="cs-CZ"/>
        </a:p>
      </dgm:t>
    </dgm:pt>
    <dgm:pt modelId="{FD21BFD5-1CA7-4889-A562-404BC06B4DA5}" type="pres">
      <dgm:prSet presAssocID="{0F723CE1-0385-4958-82E2-2FB323614214}" presName="hierChild2" presStyleCnt="0"/>
      <dgm:spPr/>
      <dgm:t>
        <a:bodyPr/>
        <a:lstStyle/>
        <a:p>
          <a:endParaRPr lang="cs-CZ"/>
        </a:p>
      </dgm:t>
    </dgm:pt>
    <dgm:pt modelId="{FEC5D16D-6EDC-40DB-9E8D-4F3E12D93EA2}" type="pres">
      <dgm:prSet presAssocID="{445B7AF4-620E-426C-9787-2B2A1FD1B8D1}" presName="Name37" presStyleLbl="parChTrans1D2" presStyleIdx="0" presStyleCnt="1"/>
      <dgm:spPr/>
      <dgm:t>
        <a:bodyPr/>
        <a:lstStyle/>
        <a:p>
          <a:endParaRPr lang="cs-CZ"/>
        </a:p>
      </dgm:t>
    </dgm:pt>
    <dgm:pt modelId="{00CE60B3-0919-4131-9D50-A94B56BDEF5C}" type="pres">
      <dgm:prSet presAssocID="{2A1D1A96-2B95-4049-8978-83DFAA90D5A4}" presName="hierRoot2" presStyleCnt="0">
        <dgm:presLayoutVars>
          <dgm:hierBranch val="init"/>
        </dgm:presLayoutVars>
      </dgm:prSet>
      <dgm:spPr/>
      <dgm:t>
        <a:bodyPr/>
        <a:lstStyle/>
        <a:p>
          <a:endParaRPr lang="cs-CZ"/>
        </a:p>
      </dgm:t>
    </dgm:pt>
    <dgm:pt modelId="{EE450333-2185-4D23-9E2C-143AA4ED2AA5}" type="pres">
      <dgm:prSet presAssocID="{2A1D1A96-2B95-4049-8978-83DFAA90D5A4}" presName="rootComposite" presStyleCnt="0"/>
      <dgm:spPr/>
      <dgm:t>
        <a:bodyPr/>
        <a:lstStyle/>
        <a:p>
          <a:endParaRPr lang="cs-CZ"/>
        </a:p>
      </dgm:t>
    </dgm:pt>
    <dgm:pt modelId="{8389E509-85DA-4BC5-A599-6B338B73EAD5}" type="pres">
      <dgm:prSet presAssocID="{2A1D1A96-2B95-4049-8978-83DFAA90D5A4}" presName="rootText" presStyleLbl="node2" presStyleIdx="0" presStyleCnt="1" custLinFactNeighborY="3387">
        <dgm:presLayoutVars>
          <dgm:chPref val="3"/>
        </dgm:presLayoutVars>
      </dgm:prSet>
      <dgm:spPr/>
      <dgm:t>
        <a:bodyPr/>
        <a:lstStyle/>
        <a:p>
          <a:endParaRPr lang="cs-CZ"/>
        </a:p>
      </dgm:t>
    </dgm:pt>
    <dgm:pt modelId="{8010BF49-A738-4DAB-B93D-F672001B4A9A}" type="pres">
      <dgm:prSet presAssocID="{2A1D1A96-2B95-4049-8978-83DFAA90D5A4}" presName="rootConnector" presStyleLbl="node2" presStyleIdx="0" presStyleCnt="1"/>
      <dgm:spPr/>
      <dgm:t>
        <a:bodyPr/>
        <a:lstStyle/>
        <a:p>
          <a:endParaRPr lang="cs-CZ"/>
        </a:p>
      </dgm:t>
    </dgm:pt>
    <dgm:pt modelId="{D36A9D77-0D19-4B18-A237-D19541F5CB86}" type="pres">
      <dgm:prSet presAssocID="{2A1D1A96-2B95-4049-8978-83DFAA90D5A4}" presName="hierChild4" presStyleCnt="0"/>
      <dgm:spPr/>
      <dgm:t>
        <a:bodyPr/>
        <a:lstStyle/>
        <a:p>
          <a:endParaRPr lang="cs-CZ"/>
        </a:p>
      </dgm:t>
    </dgm:pt>
    <dgm:pt modelId="{FB07C017-3082-4A50-ADFE-53A5E9344CEA}" type="pres">
      <dgm:prSet presAssocID="{E23A00FC-53D8-4A0D-8B28-3E3FEFC09C67}" presName="Name37" presStyleLbl="parChTrans1D3" presStyleIdx="0" presStyleCnt="3"/>
      <dgm:spPr/>
      <dgm:t>
        <a:bodyPr/>
        <a:lstStyle/>
        <a:p>
          <a:endParaRPr lang="cs-CZ"/>
        </a:p>
      </dgm:t>
    </dgm:pt>
    <dgm:pt modelId="{75A05ED2-717B-47E4-A799-C297F6923791}" type="pres">
      <dgm:prSet presAssocID="{C549B408-17D1-451F-AB90-898781A937BD}" presName="hierRoot2" presStyleCnt="0">
        <dgm:presLayoutVars>
          <dgm:hierBranch val="init"/>
        </dgm:presLayoutVars>
      </dgm:prSet>
      <dgm:spPr/>
      <dgm:t>
        <a:bodyPr/>
        <a:lstStyle/>
        <a:p>
          <a:endParaRPr lang="cs-CZ"/>
        </a:p>
      </dgm:t>
    </dgm:pt>
    <dgm:pt modelId="{39A573C4-770F-4BEA-A987-738D66992CD9}" type="pres">
      <dgm:prSet presAssocID="{C549B408-17D1-451F-AB90-898781A937BD}" presName="rootComposite" presStyleCnt="0"/>
      <dgm:spPr/>
      <dgm:t>
        <a:bodyPr/>
        <a:lstStyle/>
        <a:p>
          <a:endParaRPr lang="cs-CZ"/>
        </a:p>
      </dgm:t>
    </dgm:pt>
    <dgm:pt modelId="{036FE990-29C3-4280-827C-81076914CC98}" type="pres">
      <dgm:prSet presAssocID="{C549B408-17D1-451F-AB90-898781A937BD}" presName="rootText" presStyleLbl="node3" presStyleIdx="0" presStyleCnt="3" custLinFactNeighborY="3387">
        <dgm:presLayoutVars>
          <dgm:chPref val="3"/>
        </dgm:presLayoutVars>
      </dgm:prSet>
      <dgm:spPr/>
      <dgm:t>
        <a:bodyPr/>
        <a:lstStyle/>
        <a:p>
          <a:endParaRPr lang="cs-CZ"/>
        </a:p>
      </dgm:t>
    </dgm:pt>
    <dgm:pt modelId="{60579804-7470-4084-85F3-FEA33D1322AB}" type="pres">
      <dgm:prSet presAssocID="{C549B408-17D1-451F-AB90-898781A937BD}" presName="rootConnector" presStyleLbl="node3" presStyleIdx="0" presStyleCnt="3"/>
      <dgm:spPr/>
      <dgm:t>
        <a:bodyPr/>
        <a:lstStyle/>
        <a:p>
          <a:endParaRPr lang="cs-CZ"/>
        </a:p>
      </dgm:t>
    </dgm:pt>
    <dgm:pt modelId="{8492222D-2247-416F-B4EE-3C5851B6CFF3}" type="pres">
      <dgm:prSet presAssocID="{C549B408-17D1-451F-AB90-898781A937BD}" presName="hierChild4" presStyleCnt="0"/>
      <dgm:spPr/>
      <dgm:t>
        <a:bodyPr/>
        <a:lstStyle/>
        <a:p>
          <a:endParaRPr lang="cs-CZ"/>
        </a:p>
      </dgm:t>
    </dgm:pt>
    <dgm:pt modelId="{D8BEFFAC-85CF-40D8-8246-85230096450B}" type="pres">
      <dgm:prSet presAssocID="{D39398B9-1109-40F3-8466-FE47D86F9986}" presName="Name37" presStyleLbl="parChTrans1D4" presStyleIdx="0" presStyleCnt="8"/>
      <dgm:spPr/>
      <dgm:t>
        <a:bodyPr/>
        <a:lstStyle/>
        <a:p>
          <a:endParaRPr lang="cs-CZ"/>
        </a:p>
      </dgm:t>
    </dgm:pt>
    <dgm:pt modelId="{EE17EA65-C74F-4E08-9D1D-5EE41E40E99C}" type="pres">
      <dgm:prSet presAssocID="{07BBBF04-097C-4FE9-ABF9-8766D5B24296}" presName="hierRoot2" presStyleCnt="0">
        <dgm:presLayoutVars>
          <dgm:hierBranch val="init"/>
        </dgm:presLayoutVars>
      </dgm:prSet>
      <dgm:spPr/>
      <dgm:t>
        <a:bodyPr/>
        <a:lstStyle/>
        <a:p>
          <a:endParaRPr lang="cs-CZ"/>
        </a:p>
      </dgm:t>
    </dgm:pt>
    <dgm:pt modelId="{9065768F-CD18-45F7-A3D8-5E2FE4DE73D6}" type="pres">
      <dgm:prSet presAssocID="{07BBBF04-097C-4FE9-ABF9-8766D5B24296}" presName="rootComposite" presStyleCnt="0"/>
      <dgm:spPr/>
      <dgm:t>
        <a:bodyPr/>
        <a:lstStyle/>
        <a:p>
          <a:endParaRPr lang="cs-CZ"/>
        </a:p>
      </dgm:t>
    </dgm:pt>
    <dgm:pt modelId="{645393A3-85DD-4305-895D-48E775FDF1BD}" type="pres">
      <dgm:prSet presAssocID="{07BBBF04-097C-4FE9-ABF9-8766D5B24296}" presName="rootText" presStyleLbl="node4" presStyleIdx="0" presStyleCnt="8" custLinFactNeighborY="3387">
        <dgm:presLayoutVars>
          <dgm:chPref val="3"/>
        </dgm:presLayoutVars>
      </dgm:prSet>
      <dgm:spPr/>
      <dgm:t>
        <a:bodyPr/>
        <a:lstStyle/>
        <a:p>
          <a:endParaRPr lang="cs-CZ"/>
        </a:p>
      </dgm:t>
    </dgm:pt>
    <dgm:pt modelId="{B8496137-28EC-482B-934F-8CE9184C41A4}" type="pres">
      <dgm:prSet presAssocID="{07BBBF04-097C-4FE9-ABF9-8766D5B24296}" presName="rootConnector" presStyleLbl="node4" presStyleIdx="0" presStyleCnt="8"/>
      <dgm:spPr/>
      <dgm:t>
        <a:bodyPr/>
        <a:lstStyle/>
        <a:p>
          <a:endParaRPr lang="cs-CZ"/>
        </a:p>
      </dgm:t>
    </dgm:pt>
    <dgm:pt modelId="{886DEE9F-6CD8-446B-9E63-04316735CDE9}" type="pres">
      <dgm:prSet presAssocID="{07BBBF04-097C-4FE9-ABF9-8766D5B24296}" presName="hierChild4" presStyleCnt="0"/>
      <dgm:spPr/>
      <dgm:t>
        <a:bodyPr/>
        <a:lstStyle/>
        <a:p>
          <a:endParaRPr lang="cs-CZ"/>
        </a:p>
      </dgm:t>
    </dgm:pt>
    <dgm:pt modelId="{C6872CA1-469A-49E5-87BF-5D88AA45F74B}" type="pres">
      <dgm:prSet presAssocID="{7639FAA8-130D-484D-B808-6AA44DD4E639}" presName="Name37" presStyleLbl="parChTrans1D4" presStyleIdx="1" presStyleCnt="8"/>
      <dgm:spPr/>
      <dgm:t>
        <a:bodyPr/>
        <a:lstStyle/>
        <a:p>
          <a:endParaRPr lang="cs-CZ"/>
        </a:p>
      </dgm:t>
    </dgm:pt>
    <dgm:pt modelId="{10BE3A4C-E706-4194-B4FE-225BDB07640F}" type="pres">
      <dgm:prSet presAssocID="{8D1A9456-0C63-478A-9990-3CA800D3BE00}" presName="hierRoot2" presStyleCnt="0">
        <dgm:presLayoutVars>
          <dgm:hierBranch val="init"/>
        </dgm:presLayoutVars>
      </dgm:prSet>
      <dgm:spPr/>
      <dgm:t>
        <a:bodyPr/>
        <a:lstStyle/>
        <a:p>
          <a:endParaRPr lang="cs-CZ"/>
        </a:p>
      </dgm:t>
    </dgm:pt>
    <dgm:pt modelId="{BD08DA41-1A11-4A22-8A7A-49BC03B0125C}" type="pres">
      <dgm:prSet presAssocID="{8D1A9456-0C63-478A-9990-3CA800D3BE00}" presName="rootComposite" presStyleCnt="0"/>
      <dgm:spPr/>
      <dgm:t>
        <a:bodyPr/>
        <a:lstStyle/>
        <a:p>
          <a:endParaRPr lang="cs-CZ"/>
        </a:p>
      </dgm:t>
    </dgm:pt>
    <dgm:pt modelId="{3BF11EA9-2B21-474C-AF1B-CD5654C2D370}" type="pres">
      <dgm:prSet presAssocID="{8D1A9456-0C63-478A-9990-3CA800D3BE00}" presName="rootText" presStyleLbl="node4" presStyleIdx="1" presStyleCnt="8" custLinFactNeighborY="3387">
        <dgm:presLayoutVars>
          <dgm:chPref val="3"/>
        </dgm:presLayoutVars>
      </dgm:prSet>
      <dgm:spPr/>
      <dgm:t>
        <a:bodyPr/>
        <a:lstStyle/>
        <a:p>
          <a:endParaRPr lang="cs-CZ"/>
        </a:p>
      </dgm:t>
    </dgm:pt>
    <dgm:pt modelId="{A19373EE-DFA6-4973-850B-70945D1A5A17}" type="pres">
      <dgm:prSet presAssocID="{8D1A9456-0C63-478A-9990-3CA800D3BE00}" presName="rootConnector" presStyleLbl="node4" presStyleIdx="1" presStyleCnt="8"/>
      <dgm:spPr/>
      <dgm:t>
        <a:bodyPr/>
        <a:lstStyle/>
        <a:p>
          <a:endParaRPr lang="cs-CZ"/>
        </a:p>
      </dgm:t>
    </dgm:pt>
    <dgm:pt modelId="{91C6ABFC-C24C-419B-B118-1EE042FF2E80}" type="pres">
      <dgm:prSet presAssocID="{8D1A9456-0C63-478A-9990-3CA800D3BE00}" presName="hierChild4" presStyleCnt="0"/>
      <dgm:spPr/>
      <dgm:t>
        <a:bodyPr/>
        <a:lstStyle/>
        <a:p>
          <a:endParaRPr lang="cs-CZ"/>
        </a:p>
      </dgm:t>
    </dgm:pt>
    <dgm:pt modelId="{95226E3F-6645-4BAF-A08B-A366EC4F2321}" type="pres">
      <dgm:prSet presAssocID="{8D1A9456-0C63-478A-9990-3CA800D3BE00}" presName="hierChild5" presStyleCnt="0"/>
      <dgm:spPr/>
      <dgm:t>
        <a:bodyPr/>
        <a:lstStyle/>
        <a:p>
          <a:endParaRPr lang="cs-CZ"/>
        </a:p>
      </dgm:t>
    </dgm:pt>
    <dgm:pt modelId="{CF24CA2F-192D-4CEA-B2D4-D8DDA7294DA4}" type="pres">
      <dgm:prSet presAssocID="{D09D2284-3AE6-483D-AB0E-9325A0D5C4DD}" presName="Name37" presStyleLbl="parChTrans1D4" presStyleIdx="2" presStyleCnt="8"/>
      <dgm:spPr/>
      <dgm:t>
        <a:bodyPr/>
        <a:lstStyle/>
        <a:p>
          <a:endParaRPr lang="cs-CZ"/>
        </a:p>
      </dgm:t>
    </dgm:pt>
    <dgm:pt modelId="{CB29CEF1-B4E5-47BE-ABCD-2F3796CCE254}" type="pres">
      <dgm:prSet presAssocID="{0312EA1B-59AD-4085-9303-53EB1AE9255A}" presName="hierRoot2" presStyleCnt="0">
        <dgm:presLayoutVars>
          <dgm:hierBranch val="init"/>
        </dgm:presLayoutVars>
      </dgm:prSet>
      <dgm:spPr/>
      <dgm:t>
        <a:bodyPr/>
        <a:lstStyle/>
        <a:p>
          <a:endParaRPr lang="cs-CZ"/>
        </a:p>
      </dgm:t>
    </dgm:pt>
    <dgm:pt modelId="{49730C39-2AFC-49B0-AB15-4E4A0AA3A706}" type="pres">
      <dgm:prSet presAssocID="{0312EA1B-59AD-4085-9303-53EB1AE9255A}" presName="rootComposite" presStyleCnt="0"/>
      <dgm:spPr/>
      <dgm:t>
        <a:bodyPr/>
        <a:lstStyle/>
        <a:p>
          <a:endParaRPr lang="cs-CZ"/>
        </a:p>
      </dgm:t>
    </dgm:pt>
    <dgm:pt modelId="{5312B284-F005-404F-81AB-1CD5E1F04953}" type="pres">
      <dgm:prSet presAssocID="{0312EA1B-59AD-4085-9303-53EB1AE9255A}" presName="rootText" presStyleLbl="node4" presStyleIdx="2" presStyleCnt="8" custLinFactNeighborY="3387">
        <dgm:presLayoutVars>
          <dgm:chPref val="3"/>
        </dgm:presLayoutVars>
      </dgm:prSet>
      <dgm:spPr/>
      <dgm:t>
        <a:bodyPr/>
        <a:lstStyle/>
        <a:p>
          <a:endParaRPr lang="cs-CZ"/>
        </a:p>
      </dgm:t>
    </dgm:pt>
    <dgm:pt modelId="{3CC0B17E-42EB-4FE3-877B-12B47797CF6F}" type="pres">
      <dgm:prSet presAssocID="{0312EA1B-59AD-4085-9303-53EB1AE9255A}" presName="rootConnector" presStyleLbl="node4" presStyleIdx="2" presStyleCnt="8"/>
      <dgm:spPr/>
      <dgm:t>
        <a:bodyPr/>
        <a:lstStyle/>
        <a:p>
          <a:endParaRPr lang="cs-CZ"/>
        </a:p>
      </dgm:t>
    </dgm:pt>
    <dgm:pt modelId="{F237951C-0A3E-4169-9D09-B9BBCCD75A64}" type="pres">
      <dgm:prSet presAssocID="{0312EA1B-59AD-4085-9303-53EB1AE9255A}" presName="hierChild4" presStyleCnt="0"/>
      <dgm:spPr/>
      <dgm:t>
        <a:bodyPr/>
        <a:lstStyle/>
        <a:p>
          <a:endParaRPr lang="cs-CZ"/>
        </a:p>
      </dgm:t>
    </dgm:pt>
    <dgm:pt modelId="{8B53AA79-C8E6-407A-96C3-A2049CF7D368}" type="pres">
      <dgm:prSet presAssocID="{0312EA1B-59AD-4085-9303-53EB1AE9255A}" presName="hierChild5" presStyleCnt="0"/>
      <dgm:spPr/>
      <dgm:t>
        <a:bodyPr/>
        <a:lstStyle/>
        <a:p>
          <a:endParaRPr lang="cs-CZ"/>
        </a:p>
      </dgm:t>
    </dgm:pt>
    <dgm:pt modelId="{DEB3CA8B-02E1-408F-B68C-3EFD7532EB1A}" type="pres">
      <dgm:prSet presAssocID="{07BBBF04-097C-4FE9-ABF9-8766D5B24296}" presName="hierChild5" presStyleCnt="0"/>
      <dgm:spPr/>
      <dgm:t>
        <a:bodyPr/>
        <a:lstStyle/>
        <a:p>
          <a:endParaRPr lang="cs-CZ"/>
        </a:p>
      </dgm:t>
    </dgm:pt>
    <dgm:pt modelId="{D028DE51-AE6C-4040-B32D-095AD2DFA95A}" type="pres">
      <dgm:prSet presAssocID="{C549B408-17D1-451F-AB90-898781A937BD}" presName="hierChild5" presStyleCnt="0"/>
      <dgm:spPr/>
      <dgm:t>
        <a:bodyPr/>
        <a:lstStyle/>
        <a:p>
          <a:endParaRPr lang="cs-CZ"/>
        </a:p>
      </dgm:t>
    </dgm:pt>
    <dgm:pt modelId="{9A455268-A04D-45C9-BA9C-0076DEEE8AF0}" type="pres">
      <dgm:prSet presAssocID="{5815322D-B99A-4030-8B93-02ED5F2BC950}" presName="Name37" presStyleLbl="parChTrans1D3" presStyleIdx="1" presStyleCnt="3"/>
      <dgm:spPr/>
      <dgm:t>
        <a:bodyPr/>
        <a:lstStyle/>
        <a:p>
          <a:endParaRPr lang="cs-CZ"/>
        </a:p>
      </dgm:t>
    </dgm:pt>
    <dgm:pt modelId="{901F2E8B-DE2E-44C3-BC69-9D659159F639}" type="pres">
      <dgm:prSet presAssocID="{92F8BC11-3B27-4418-927F-2CE2D015A294}" presName="hierRoot2" presStyleCnt="0">
        <dgm:presLayoutVars>
          <dgm:hierBranch val="init"/>
        </dgm:presLayoutVars>
      </dgm:prSet>
      <dgm:spPr/>
      <dgm:t>
        <a:bodyPr/>
        <a:lstStyle/>
        <a:p>
          <a:endParaRPr lang="cs-CZ"/>
        </a:p>
      </dgm:t>
    </dgm:pt>
    <dgm:pt modelId="{BEA759DF-EBBF-4CFE-B4A4-FAA24F40E5F7}" type="pres">
      <dgm:prSet presAssocID="{92F8BC11-3B27-4418-927F-2CE2D015A294}" presName="rootComposite" presStyleCnt="0"/>
      <dgm:spPr/>
      <dgm:t>
        <a:bodyPr/>
        <a:lstStyle/>
        <a:p>
          <a:endParaRPr lang="cs-CZ"/>
        </a:p>
      </dgm:t>
    </dgm:pt>
    <dgm:pt modelId="{D61EF265-784C-4755-A9A1-136F64CE0430}" type="pres">
      <dgm:prSet presAssocID="{92F8BC11-3B27-4418-927F-2CE2D015A294}" presName="rootText" presStyleLbl="node3" presStyleIdx="1" presStyleCnt="3" custLinFactNeighborY="3387">
        <dgm:presLayoutVars>
          <dgm:chPref val="3"/>
        </dgm:presLayoutVars>
      </dgm:prSet>
      <dgm:spPr/>
      <dgm:t>
        <a:bodyPr/>
        <a:lstStyle/>
        <a:p>
          <a:endParaRPr lang="cs-CZ"/>
        </a:p>
      </dgm:t>
    </dgm:pt>
    <dgm:pt modelId="{1CF424EA-D09E-4006-9185-4D979BDC044C}" type="pres">
      <dgm:prSet presAssocID="{92F8BC11-3B27-4418-927F-2CE2D015A294}" presName="rootConnector" presStyleLbl="node3" presStyleIdx="1" presStyleCnt="3"/>
      <dgm:spPr/>
      <dgm:t>
        <a:bodyPr/>
        <a:lstStyle/>
        <a:p>
          <a:endParaRPr lang="cs-CZ"/>
        </a:p>
      </dgm:t>
    </dgm:pt>
    <dgm:pt modelId="{4C1F4F03-113C-461A-9521-3F988742FFFC}" type="pres">
      <dgm:prSet presAssocID="{92F8BC11-3B27-4418-927F-2CE2D015A294}" presName="hierChild4" presStyleCnt="0"/>
      <dgm:spPr/>
      <dgm:t>
        <a:bodyPr/>
        <a:lstStyle/>
        <a:p>
          <a:endParaRPr lang="cs-CZ"/>
        </a:p>
      </dgm:t>
    </dgm:pt>
    <dgm:pt modelId="{66B047F9-125E-4FE5-9DEB-B79CEDEA958D}" type="pres">
      <dgm:prSet presAssocID="{5C0FF39D-4572-4816-8D84-6E81223F95C0}" presName="Name37" presStyleLbl="parChTrans1D4" presStyleIdx="3" presStyleCnt="8"/>
      <dgm:spPr/>
      <dgm:t>
        <a:bodyPr/>
        <a:lstStyle/>
        <a:p>
          <a:endParaRPr lang="cs-CZ"/>
        </a:p>
      </dgm:t>
    </dgm:pt>
    <dgm:pt modelId="{420184D7-8FA0-42B3-BB93-A6834B24698B}" type="pres">
      <dgm:prSet presAssocID="{2E5BD243-3325-4872-B8E0-272DC5A7C891}" presName="hierRoot2" presStyleCnt="0">
        <dgm:presLayoutVars>
          <dgm:hierBranch val="init"/>
        </dgm:presLayoutVars>
      </dgm:prSet>
      <dgm:spPr/>
      <dgm:t>
        <a:bodyPr/>
        <a:lstStyle/>
        <a:p>
          <a:endParaRPr lang="cs-CZ"/>
        </a:p>
      </dgm:t>
    </dgm:pt>
    <dgm:pt modelId="{F807F45E-57FF-4CAB-9EE8-932EA5363507}" type="pres">
      <dgm:prSet presAssocID="{2E5BD243-3325-4872-B8E0-272DC5A7C891}" presName="rootComposite" presStyleCnt="0"/>
      <dgm:spPr/>
      <dgm:t>
        <a:bodyPr/>
        <a:lstStyle/>
        <a:p>
          <a:endParaRPr lang="cs-CZ"/>
        </a:p>
      </dgm:t>
    </dgm:pt>
    <dgm:pt modelId="{7FEB4EBC-495F-437A-BBF8-6D8428E14B60}" type="pres">
      <dgm:prSet presAssocID="{2E5BD243-3325-4872-B8E0-272DC5A7C891}" presName="rootText" presStyleLbl="node4" presStyleIdx="3" presStyleCnt="8" custLinFactNeighborY="3387">
        <dgm:presLayoutVars>
          <dgm:chPref val="3"/>
        </dgm:presLayoutVars>
      </dgm:prSet>
      <dgm:spPr/>
      <dgm:t>
        <a:bodyPr/>
        <a:lstStyle/>
        <a:p>
          <a:endParaRPr lang="cs-CZ"/>
        </a:p>
      </dgm:t>
    </dgm:pt>
    <dgm:pt modelId="{EC4B7FBC-42F0-4D17-875E-4E7AB25E06D1}" type="pres">
      <dgm:prSet presAssocID="{2E5BD243-3325-4872-B8E0-272DC5A7C891}" presName="rootConnector" presStyleLbl="node4" presStyleIdx="3" presStyleCnt="8"/>
      <dgm:spPr/>
      <dgm:t>
        <a:bodyPr/>
        <a:lstStyle/>
        <a:p>
          <a:endParaRPr lang="cs-CZ"/>
        </a:p>
      </dgm:t>
    </dgm:pt>
    <dgm:pt modelId="{AADA72C1-7380-475A-84B6-9DAF724966C4}" type="pres">
      <dgm:prSet presAssocID="{2E5BD243-3325-4872-B8E0-272DC5A7C891}" presName="hierChild4" presStyleCnt="0"/>
      <dgm:spPr/>
      <dgm:t>
        <a:bodyPr/>
        <a:lstStyle/>
        <a:p>
          <a:endParaRPr lang="cs-CZ"/>
        </a:p>
      </dgm:t>
    </dgm:pt>
    <dgm:pt modelId="{4BE2585F-9FCC-4C72-B0BA-09A1EA7D6ED8}" type="pres">
      <dgm:prSet presAssocID="{27C7C60B-6083-43CE-98F1-77A0426F5475}" presName="Name37" presStyleLbl="parChTrans1D4" presStyleIdx="4" presStyleCnt="8"/>
      <dgm:spPr/>
      <dgm:t>
        <a:bodyPr/>
        <a:lstStyle/>
        <a:p>
          <a:endParaRPr lang="cs-CZ"/>
        </a:p>
      </dgm:t>
    </dgm:pt>
    <dgm:pt modelId="{7B3F35EC-5DBB-4A10-9676-2BF1A55D661B}" type="pres">
      <dgm:prSet presAssocID="{DE92C6F3-B207-46F4-92EF-C1550B6E67DD}" presName="hierRoot2" presStyleCnt="0">
        <dgm:presLayoutVars>
          <dgm:hierBranch val="init"/>
        </dgm:presLayoutVars>
      </dgm:prSet>
      <dgm:spPr/>
      <dgm:t>
        <a:bodyPr/>
        <a:lstStyle/>
        <a:p>
          <a:endParaRPr lang="cs-CZ"/>
        </a:p>
      </dgm:t>
    </dgm:pt>
    <dgm:pt modelId="{8F0B393E-E221-4CE4-B3DB-9B98D84F8E2C}" type="pres">
      <dgm:prSet presAssocID="{DE92C6F3-B207-46F4-92EF-C1550B6E67DD}" presName="rootComposite" presStyleCnt="0"/>
      <dgm:spPr/>
      <dgm:t>
        <a:bodyPr/>
        <a:lstStyle/>
        <a:p>
          <a:endParaRPr lang="cs-CZ"/>
        </a:p>
      </dgm:t>
    </dgm:pt>
    <dgm:pt modelId="{7D3F690A-3972-4326-8C37-8FF595586FFB}" type="pres">
      <dgm:prSet presAssocID="{DE92C6F3-B207-46F4-92EF-C1550B6E67DD}" presName="rootText" presStyleLbl="node4" presStyleIdx="4" presStyleCnt="8" custLinFactNeighborY="3387">
        <dgm:presLayoutVars>
          <dgm:chPref val="3"/>
        </dgm:presLayoutVars>
      </dgm:prSet>
      <dgm:spPr/>
      <dgm:t>
        <a:bodyPr/>
        <a:lstStyle/>
        <a:p>
          <a:endParaRPr lang="cs-CZ"/>
        </a:p>
      </dgm:t>
    </dgm:pt>
    <dgm:pt modelId="{8B62FF85-C3AA-43D0-95ED-815E89ED4DF8}" type="pres">
      <dgm:prSet presAssocID="{DE92C6F3-B207-46F4-92EF-C1550B6E67DD}" presName="rootConnector" presStyleLbl="node4" presStyleIdx="4" presStyleCnt="8"/>
      <dgm:spPr/>
      <dgm:t>
        <a:bodyPr/>
        <a:lstStyle/>
        <a:p>
          <a:endParaRPr lang="cs-CZ"/>
        </a:p>
      </dgm:t>
    </dgm:pt>
    <dgm:pt modelId="{2435057E-3FD5-4DFA-976F-B8B496C7A0A0}" type="pres">
      <dgm:prSet presAssocID="{DE92C6F3-B207-46F4-92EF-C1550B6E67DD}" presName="hierChild4" presStyleCnt="0"/>
      <dgm:spPr/>
      <dgm:t>
        <a:bodyPr/>
        <a:lstStyle/>
        <a:p>
          <a:endParaRPr lang="cs-CZ"/>
        </a:p>
      </dgm:t>
    </dgm:pt>
    <dgm:pt modelId="{C1E686AA-E5A1-4879-AAA1-226875E611F1}" type="pres">
      <dgm:prSet presAssocID="{DE92C6F3-B207-46F4-92EF-C1550B6E67DD}" presName="hierChild5" presStyleCnt="0"/>
      <dgm:spPr/>
      <dgm:t>
        <a:bodyPr/>
        <a:lstStyle/>
        <a:p>
          <a:endParaRPr lang="cs-CZ"/>
        </a:p>
      </dgm:t>
    </dgm:pt>
    <dgm:pt modelId="{535504E7-3541-491A-B6BF-8DF163D8C34C}" type="pres">
      <dgm:prSet presAssocID="{FCBC4888-FAA1-4E07-A16A-CEF009FEED51}" presName="Name37" presStyleLbl="parChTrans1D4" presStyleIdx="5" presStyleCnt="8"/>
      <dgm:spPr/>
      <dgm:t>
        <a:bodyPr/>
        <a:lstStyle/>
        <a:p>
          <a:endParaRPr lang="cs-CZ"/>
        </a:p>
      </dgm:t>
    </dgm:pt>
    <dgm:pt modelId="{C5A04C29-B9E9-4BE7-870E-1F4B35D744BF}" type="pres">
      <dgm:prSet presAssocID="{519754E0-5B57-49B5-B013-E0803DCB3FC1}" presName="hierRoot2" presStyleCnt="0">
        <dgm:presLayoutVars>
          <dgm:hierBranch val="init"/>
        </dgm:presLayoutVars>
      </dgm:prSet>
      <dgm:spPr/>
      <dgm:t>
        <a:bodyPr/>
        <a:lstStyle/>
        <a:p>
          <a:endParaRPr lang="cs-CZ"/>
        </a:p>
      </dgm:t>
    </dgm:pt>
    <dgm:pt modelId="{59988676-E90A-4815-8869-B364B69E2698}" type="pres">
      <dgm:prSet presAssocID="{519754E0-5B57-49B5-B013-E0803DCB3FC1}" presName="rootComposite" presStyleCnt="0"/>
      <dgm:spPr/>
      <dgm:t>
        <a:bodyPr/>
        <a:lstStyle/>
        <a:p>
          <a:endParaRPr lang="cs-CZ"/>
        </a:p>
      </dgm:t>
    </dgm:pt>
    <dgm:pt modelId="{583EB4ED-C74D-4840-A52A-8C20291BBEE2}" type="pres">
      <dgm:prSet presAssocID="{519754E0-5B57-49B5-B013-E0803DCB3FC1}" presName="rootText" presStyleLbl="node4" presStyleIdx="5" presStyleCnt="8" custLinFactNeighborY="3387">
        <dgm:presLayoutVars>
          <dgm:chPref val="3"/>
        </dgm:presLayoutVars>
      </dgm:prSet>
      <dgm:spPr/>
      <dgm:t>
        <a:bodyPr/>
        <a:lstStyle/>
        <a:p>
          <a:endParaRPr lang="cs-CZ"/>
        </a:p>
      </dgm:t>
    </dgm:pt>
    <dgm:pt modelId="{0D9FAE67-2067-4922-8481-2771CC8175DD}" type="pres">
      <dgm:prSet presAssocID="{519754E0-5B57-49B5-B013-E0803DCB3FC1}" presName="rootConnector" presStyleLbl="node4" presStyleIdx="5" presStyleCnt="8"/>
      <dgm:spPr/>
      <dgm:t>
        <a:bodyPr/>
        <a:lstStyle/>
        <a:p>
          <a:endParaRPr lang="cs-CZ"/>
        </a:p>
      </dgm:t>
    </dgm:pt>
    <dgm:pt modelId="{DEC5C0BF-CF05-425A-A5FD-D2B6AD57FE6C}" type="pres">
      <dgm:prSet presAssocID="{519754E0-5B57-49B5-B013-E0803DCB3FC1}" presName="hierChild4" presStyleCnt="0"/>
      <dgm:spPr/>
      <dgm:t>
        <a:bodyPr/>
        <a:lstStyle/>
        <a:p>
          <a:endParaRPr lang="cs-CZ"/>
        </a:p>
      </dgm:t>
    </dgm:pt>
    <dgm:pt modelId="{3A9ECF75-0A30-4361-9924-DBCBA412F6F5}" type="pres">
      <dgm:prSet presAssocID="{519754E0-5B57-49B5-B013-E0803DCB3FC1}" presName="hierChild5" presStyleCnt="0"/>
      <dgm:spPr/>
      <dgm:t>
        <a:bodyPr/>
        <a:lstStyle/>
        <a:p>
          <a:endParaRPr lang="cs-CZ"/>
        </a:p>
      </dgm:t>
    </dgm:pt>
    <dgm:pt modelId="{CB38B451-062B-43ED-97C3-75D2EB235E47}" type="pres">
      <dgm:prSet presAssocID="{2E5BD243-3325-4872-B8E0-272DC5A7C891}" presName="hierChild5" presStyleCnt="0"/>
      <dgm:spPr/>
      <dgm:t>
        <a:bodyPr/>
        <a:lstStyle/>
        <a:p>
          <a:endParaRPr lang="cs-CZ"/>
        </a:p>
      </dgm:t>
    </dgm:pt>
    <dgm:pt modelId="{DD6CFE37-33CD-4B18-81D5-26FE9587A06B}" type="pres">
      <dgm:prSet presAssocID="{92F8BC11-3B27-4418-927F-2CE2D015A294}" presName="hierChild5" presStyleCnt="0"/>
      <dgm:spPr/>
      <dgm:t>
        <a:bodyPr/>
        <a:lstStyle/>
        <a:p>
          <a:endParaRPr lang="cs-CZ"/>
        </a:p>
      </dgm:t>
    </dgm:pt>
    <dgm:pt modelId="{A988D3C4-61EE-4E71-999A-75A964527B28}" type="pres">
      <dgm:prSet presAssocID="{A10CF979-E9E4-44E2-95DB-8DD2A2B66A32}" presName="Name37" presStyleLbl="parChTrans1D3" presStyleIdx="2" presStyleCnt="3"/>
      <dgm:spPr/>
      <dgm:t>
        <a:bodyPr/>
        <a:lstStyle/>
        <a:p>
          <a:endParaRPr lang="cs-CZ"/>
        </a:p>
      </dgm:t>
    </dgm:pt>
    <dgm:pt modelId="{7EB65B06-2DAE-4319-AAD3-06A2A6C97482}" type="pres">
      <dgm:prSet presAssocID="{2991E5B5-F333-4A1F-8B2E-A8A165DBEE5C}" presName="hierRoot2" presStyleCnt="0">
        <dgm:presLayoutVars>
          <dgm:hierBranch val="init"/>
        </dgm:presLayoutVars>
      </dgm:prSet>
      <dgm:spPr/>
      <dgm:t>
        <a:bodyPr/>
        <a:lstStyle/>
        <a:p>
          <a:endParaRPr lang="cs-CZ"/>
        </a:p>
      </dgm:t>
    </dgm:pt>
    <dgm:pt modelId="{F9D719C2-7E88-4989-8121-3D032F4412F2}" type="pres">
      <dgm:prSet presAssocID="{2991E5B5-F333-4A1F-8B2E-A8A165DBEE5C}" presName="rootComposite" presStyleCnt="0"/>
      <dgm:spPr/>
      <dgm:t>
        <a:bodyPr/>
        <a:lstStyle/>
        <a:p>
          <a:endParaRPr lang="cs-CZ"/>
        </a:p>
      </dgm:t>
    </dgm:pt>
    <dgm:pt modelId="{E8023D53-25C2-4EF7-971C-9C40FD9AEBF3}" type="pres">
      <dgm:prSet presAssocID="{2991E5B5-F333-4A1F-8B2E-A8A165DBEE5C}" presName="rootText" presStyleLbl="node3" presStyleIdx="2" presStyleCnt="3" custLinFactNeighborY="3387">
        <dgm:presLayoutVars>
          <dgm:chPref val="3"/>
        </dgm:presLayoutVars>
      </dgm:prSet>
      <dgm:spPr/>
      <dgm:t>
        <a:bodyPr/>
        <a:lstStyle/>
        <a:p>
          <a:endParaRPr lang="cs-CZ"/>
        </a:p>
      </dgm:t>
    </dgm:pt>
    <dgm:pt modelId="{97170B09-62BF-4164-AA48-ECB62BE0251E}" type="pres">
      <dgm:prSet presAssocID="{2991E5B5-F333-4A1F-8B2E-A8A165DBEE5C}" presName="rootConnector" presStyleLbl="node3" presStyleIdx="2" presStyleCnt="3"/>
      <dgm:spPr/>
      <dgm:t>
        <a:bodyPr/>
        <a:lstStyle/>
        <a:p>
          <a:endParaRPr lang="cs-CZ"/>
        </a:p>
      </dgm:t>
    </dgm:pt>
    <dgm:pt modelId="{F8622FBE-C9D6-4CEC-971C-3A7395CCFF84}" type="pres">
      <dgm:prSet presAssocID="{2991E5B5-F333-4A1F-8B2E-A8A165DBEE5C}" presName="hierChild4" presStyleCnt="0"/>
      <dgm:spPr/>
      <dgm:t>
        <a:bodyPr/>
        <a:lstStyle/>
        <a:p>
          <a:endParaRPr lang="cs-CZ"/>
        </a:p>
      </dgm:t>
    </dgm:pt>
    <dgm:pt modelId="{D3C3DBDE-6B1E-4FE3-ACFD-E889A21663F4}" type="pres">
      <dgm:prSet presAssocID="{91B3813C-89BF-4308-BFBA-1EC3F7F13183}" presName="Name37" presStyleLbl="parChTrans1D4" presStyleIdx="6" presStyleCnt="8"/>
      <dgm:spPr/>
      <dgm:t>
        <a:bodyPr/>
        <a:lstStyle/>
        <a:p>
          <a:endParaRPr lang="cs-CZ"/>
        </a:p>
      </dgm:t>
    </dgm:pt>
    <dgm:pt modelId="{5EF3863E-29B5-4103-ADC1-36D4EF69837C}" type="pres">
      <dgm:prSet presAssocID="{8D94427B-4652-41FA-B452-DFDEC63E2E2D}" presName="hierRoot2" presStyleCnt="0">
        <dgm:presLayoutVars>
          <dgm:hierBranch val="init"/>
        </dgm:presLayoutVars>
      </dgm:prSet>
      <dgm:spPr/>
      <dgm:t>
        <a:bodyPr/>
        <a:lstStyle/>
        <a:p>
          <a:endParaRPr lang="cs-CZ"/>
        </a:p>
      </dgm:t>
    </dgm:pt>
    <dgm:pt modelId="{D09296D4-D8D9-403A-96D9-B4E2849364B5}" type="pres">
      <dgm:prSet presAssocID="{8D94427B-4652-41FA-B452-DFDEC63E2E2D}" presName="rootComposite" presStyleCnt="0"/>
      <dgm:spPr/>
      <dgm:t>
        <a:bodyPr/>
        <a:lstStyle/>
        <a:p>
          <a:endParaRPr lang="cs-CZ"/>
        </a:p>
      </dgm:t>
    </dgm:pt>
    <dgm:pt modelId="{97CF754B-B8A8-4907-AA7B-D052BA2E3E42}" type="pres">
      <dgm:prSet presAssocID="{8D94427B-4652-41FA-B452-DFDEC63E2E2D}" presName="rootText" presStyleLbl="node4" presStyleIdx="6" presStyleCnt="8" custLinFactNeighborY="3387">
        <dgm:presLayoutVars>
          <dgm:chPref val="3"/>
        </dgm:presLayoutVars>
      </dgm:prSet>
      <dgm:spPr/>
      <dgm:t>
        <a:bodyPr/>
        <a:lstStyle/>
        <a:p>
          <a:endParaRPr lang="cs-CZ"/>
        </a:p>
      </dgm:t>
    </dgm:pt>
    <dgm:pt modelId="{417BF8B2-239B-474B-9DCA-4C871C76C3B8}" type="pres">
      <dgm:prSet presAssocID="{8D94427B-4652-41FA-B452-DFDEC63E2E2D}" presName="rootConnector" presStyleLbl="node4" presStyleIdx="6" presStyleCnt="8"/>
      <dgm:spPr/>
      <dgm:t>
        <a:bodyPr/>
        <a:lstStyle/>
        <a:p>
          <a:endParaRPr lang="cs-CZ"/>
        </a:p>
      </dgm:t>
    </dgm:pt>
    <dgm:pt modelId="{EEA3CE75-C646-4602-9EEF-E4DD257D9F6B}" type="pres">
      <dgm:prSet presAssocID="{8D94427B-4652-41FA-B452-DFDEC63E2E2D}" presName="hierChild4" presStyleCnt="0"/>
      <dgm:spPr/>
      <dgm:t>
        <a:bodyPr/>
        <a:lstStyle/>
        <a:p>
          <a:endParaRPr lang="cs-CZ"/>
        </a:p>
      </dgm:t>
    </dgm:pt>
    <dgm:pt modelId="{89BD94BE-EF1D-4983-9903-226A5EF2F4CA}" type="pres">
      <dgm:prSet presAssocID="{98B143C2-DB9C-4A15-A3C0-2F34B437AC2B}" presName="Name37" presStyleLbl="parChTrans1D4" presStyleIdx="7" presStyleCnt="8"/>
      <dgm:spPr/>
      <dgm:t>
        <a:bodyPr/>
        <a:lstStyle/>
        <a:p>
          <a:endParaRPr lang="cs-CZ"/>
        </a:p>
      </dgm:t>
    </dgm:pt>
    <dgm:pt modelId="{375A3566-94E4-4B16-9509-B4932EA889A2}" type="pres">
      <dgm:prSet presAssocID="{007B9AAD-9556-4857-B6D1-C6CD5ABDDD8A}" presName="hierRoot2" presStyleCnt="0">
        <dgm:presLayoutVars>
          <dgm:hierBranch val="init"/>
        </dgm:presLayoutVars>
      </dgm:prSet>
      <dgm:spPr/>
      <dgm:t>
        <a:bodyPr/>
        <a:lstStyle/>
        <a:p>
          <a:endParaRPr lang="cs-CZ"/>
        </a:p>
      </dgm:t>
    </dgm:pt>
    <dgm:pt modelId="{AE6AF948-CB36-4D11-9AF1-2402D348F9BF}" type="pres">
      <dgm:prSet presAssocID="{007B9AAD-9556-4857-B6D1-C6CD5ABDDD8A}" presName="rootComposite" presStyleCnt="0"/>
      <dgm:spPr/>
      <dgm:t>
        <a:bodyPr/>
        <a:lstStyle/>
        <a:p>
          <a:endParaRPr lang="cs-CZ"/>
        </a:p>
      </dgm:t>
    </dgm:pt>
    <dgm:pt modelId="{AAC115FC-BEEE-4E9C-8587-47348F5B1CDD}" type="pres">
      <dgm:prSet presAssocID="{007B9AAD-9556-4857-B6D1-C6CD5ABDDD8A}" presName="rootText" presStyleLbl="node4" presStyleIdx="7" presStyleCnt="8" custLinFactNeighborY="3387">
        <dgm:presLayoutVars>
          <dgm:chPref val="3"/>
        </dgm:presLayoutVars>
      </dgm:prSet>
      <dgm:spPr/>
      <dgm:t>
        <a:bodyPr/>
        <a:lstStyle/>
        <a:p>
          <a:endParaRPr lang="cs-CZ"/>
        </a:p>
      </dgm:t>
    </dgm:pt>
    <dgm:pt modelId="{DB323919-C8D1-47D7-85DC-B7090C2F3E5C}" type="pres">
      <dgm:prSet presAssocID="{007B9AAD-9556-4857-B6D1-C6CD5ABDDD8A}" presName="rootConnector" presStyleLbl="node4" presStyleIdx="7" presStyleCnt="8"/>
      <dgm:spPr/>
      <dgm:t>
        <a:bodyPr/>
        <a:lstStyle/>
        <a:p>
          <a:endParaRPr lang="cs-CZ"/>
        </a:p>
      </dgm:t>
    </dgm:pt>
    <dgm:pt modelId="{68A647BA-14D6-4AFA-90B5-FC650BC47294}" type="pres">
      <dgm:prSet presAssocID="{007B9AAD-9556-4857-B6D1-C6CD5ABDDD8A}" presName="hierChild4" presStyleCnt="0"/>
      <dgm:spPr/>
      <dgm:t>
        <a:bodyPr/>
        <a:lstStyle/>
        <a:p>
          <a:endParaRPr lang="cs-CZ"/>
        </a:p>
      </dgm:t>
    </dgm:pt>
    <dgm:pt modelId="{19F808D9-67D4-4467-890E-8ECBF295C231}" type="pres">
      <dgm:prSet presAssocID="{007B9AAD-9556-4857-B6D1-C6CD5ABDDD8A}" presName="hierChild5" presStyleCnt="0"/>
      <dgm:spPr/>
      <dgm:t>
        <a:bodyPr/>
        <a:lstStyle/>
        <a:p>
          <a:endParaRPr lang="cs-CZ"/>
        </a:p>
      </dgm:t>
    </dgm:pt>
    <dgm:pt modelId="{7F6E9D11-769B-4483-8B07-4ABD9E58C04B}" type="pres">
      <dgm:prSet presAssocID="{8D94427B-4652-41FA-B452-DFDEC63E2E2D}" presName="hierChild5" presStyleCnt="0"/>
      <dgm:spPr/>
      <dgm:t>
        <a:bodyPr/>
        <a:lstStyle/>
        <a:p>
          <a:endParaRPr lang="cs-CZ"/>
        </a:p>
      </dgm:t>
    </dgm:pt>
    <dgm:pt modelId="{643AB9B2-BBCF-40BC-8659-66A9AA0DDFE9}" type="pres">
      <dgm:prSet presAssocID="{2991E5B5-F333-4A1F-8B2E-A8A165DBEE5C}" presName="hierChild5" presStyleCnt="0"/>
      <dgm:spPr/>
      <dgm:t>
        <a:bodyPr/>
        <a:lstStyle/>
        <a:p>
          <a:endParaRPr lang="cs-CZ"/>
        </a:p>
      </dgm:t>
    </dgm:pt>
    <dgm:pt modelId="{F58B55BC-25A1-4A0F-8BE5-96594F909071}" type="pres">
      <dgm:prSet presAssocID="{2A1D1A96-2B95-4049-8978-83DFAA90D5A4}" presName="hierChild5" presStyleCnt="0"/>
      <dgm:spPr/>
      <dgm:t>
        <a:bodyPr/>
        <a:lstStyle/>
        <a:p>
          <a:endParaRPr lang="cs-CZ"/>
        </a:p>
      </dgm:t>
    </dgm:pt>
    <dgm:pt modelId="{AB12CDBB-DA95-4EFF-A822-BCFE32BE5CD0}" type="pres">
      <dgm:prSet presAssocID="{0F723CE1-0385-4958-82E2-2FB323614214}" presName="hierChild3" presStyleCnt="0"/>
      <dgm:spPr/>
      <dgm:t>
        <a:bodyPr/>
        <a:lstStyle/>
        <a:p>
          <a:endParaRPr lang="cs-CZ"/>
        </a:p>
      </dgm:t>
    </dgm:pt>
    <dgm:pt modelId="{597448E9-E614-4C35-9FAB-3290AC5A0731}" type="pres">
      <dgm:prSet presAssocID="{1D233158-823F-43CE-8F0D-1F61742FA33E}" presName="hierRoot1" presStyleCnt="0">
        <dgm:presLayoutVars>
          <dgm:hierBranch val="init"/>
        </dgm:presLayoutVars>
      </dgm:prSet>
      <dgm:spPr/>
      <dgm:t>
        <a:bodyPr/>
        <a:lstStyle/>
        <a:p>
          <a:endParaRPr lang="cs-CZ"/>
        </a:p>
      </dgm:t>
    </dgm:pt>
    <dgm:pt modelId="{7AFED4D2-F44F-42B2-8548-28ABD7E206A3}" type="pres">
      <dgm:prSet presAssocID="{1D233158-823F-43CE-8F0D-1F61742FA33E}" presName="rootComposite1" presStyleCnt="0"/>
      <dgm:spPr/>
      <dgm:t>
        <a:bodyPr/>
        <a:lstStyle/>
        <a:p>
          <a:endParaRPr lang="cs-CZ"/>
        </a:p>
      </dgm:t>
    </dgm:pt>
    <dgm:pt modelId="{D5DD9303-C346-49F3-8108-E80379DCEB67}" type="pres">
      <dgm:prSet presAssocID="{1D233158-823F-43CE-8F0D-1F61742FA33E}" presName="rootText1" presStyleLbl="node0" presStyleIdx="1" presStyleCnt="5" custScaleY="190005" custLinFactNeighborY="3387">
        <dgm:presLayoutVars>
          <dgm:chPref val="3"/>
        </dgm:presLayoutVars>
      </dgm:prSet>
      <dgm:spPr/>
      <dgm:t>
        <a:bodyPr/>
        <a:lstStyle/>
        <a:p>
          <a:endParaRPr lang="cs-CZ"/>
        </a:p>
      </dgm:t>
    </dgm:pt>
    <dgm:pt modelId="{92C7F4D9-B3AA-4AF2-9963-92CF11FE8933}" type="pres">
      <dgm:prSet presAssocID="{1D233158-823F-43CE-8F0D-1F61742FA33E}" presName="rootConnector1" presStyleLbl="node1" presStyleIdx="0" presStyleCnt="0"/>
      <dgm:spPr/>
      <dgm:t>
        <a:bodyPr/>
        <a:lstStyle/>
        <a:p>
          <a:endParaRPr lang="cs-CZ"/>
        </a:p>
      </dgm:t>
    </dgm:pt>
    <dgm:pt modelId="{96913F72-D2A0-40C2-B65B-36A047C488A7}" type="pres">
      <dgm:prSet presAssocID="{1D233158-823F-43CE-8F0D-1F61742FA33E}" presName="hierChild2" presStyleCnt="0"/>
      <dgm:spPr/>
      <dgm:t>
        <a:bodyPr/>
        <a:lstStyle/>
        <a:p>
          <a:endParaRPr lang="cs-CZ"/>
        </a:p>
      </dgm:t>
    </dgm:pt>
    <dgm:pt modelId="{4C63BA29-DCD6-4117-822C-DD7B70F5D523}" type="pres">
      <dgm:prSet presAssocID="{1D233158-823F-43CE-8F0D-1F61742FA33E}" presName="hierChild3" presStyleCnt="0"/>
      <dgm:spPr/>
      <dgm:t>
        <a:bodyPr/>
        <a:lstStyle/>
        <a:p>
          <a:endParaRPr lang="cs-CZ"/>
        </a:p>
      </dgm:t>
    </dgm:pt>
    <dgm:pt modelId="{87874E25-36E6-45E1-8264-85321AFDBE47}" type="pres">
      <dgm:prSet presAssocID="{0B334D69-55A7-4FBA-ABEC-817B8B3C95C1}" presName="hierRoot1" presStyleCnt="0">
        <dgm:presLayoutVars>
          <dgm:hierBranch val="init"/>
        </dgm:presLayoutVars>
      </dgm:prSet>
      <dgm:spPr/>
      <dgm:t>
        <a:bodyPr/>
        <a:lstStyle/>
        <a:p>
          <a:endParaRPr lang="cs-CZ"/>
        </a:p>
      </dgm:t>
    </dgm:pt>
    <dgm:pt modelId="{21DAEA14-5B6B-49D4-BFF6-1350E578F6B4}" type="pres">
      <dgm:prSet presAssocID="{0B334D69-55A7-4FBA-ABEC-817B8B3C95C1}" presName="rootComposite1" presStyleCnt="0"/>
      <dgm:spPr/>
      <dgm:t>
        <a:bodyPr/>
        <a:lstStyle/>
        <a:p>
          <a:endParaRPr lang="cs-CZ"/>
        </a:p>
      </dgm:t>
    </dgm:pt>
    <dgm:pt modelId="{5045D3C0-F787-4966-A7DB-069310751CD5}" type="pres">
      <dgm:prSet presAssocID="{0B334D69-55A7-4FBA-ABEC-817B8B3C95C1}" presName="rootText1" presStyleLbl="node0" presStyleIdx="2" presStyleCnt="5" custScaleY="208669" custLinFactNeighborY="3387">
        <dgm:presLayoutVars>
          <dgm:chPref val="3"/>
        </dgm:presLayoutVars>
      </dgm:prSet>
      <dgm:spPr/>
      <dgm:t>
        <a:bodyPr/>
        <a:lstStyle/>
        <a:p>
          <a:endParaRPr lang="cs-CZ"/>
        </a:p>
      </dgm:t>
    </dgm:pt>
    <dgm:pt modelId="{ED8467CD-22A8-4824-84E7-738DAB1048DE}" type="pres">
      <dgm:prSet presAssocID="{0B334D69-55A7-4FBA-ABEC-817B8B3C95C1}" presName="rootConnector1" presStyleLbl="node1" presStyleIdx="0" presStyleCnt="0"/>
      <dgm:spPr/>
      <dgm:t>
        <a:bodyPr/>
        <a:lstStyle/>
        <a:p>
          <a:endParaRPr lang="cs-CZ"/>
        </a:p>
      </dgm:t>
    </dgm:pt>
    <dgm:pt modelId="{04AB7D91-C1C8-4F4F-871D-0DE3EC4488DD}" type="pres">
      <dgm:prSet presAssocID="{0B334D69-55A7-4FBA-ABEC-817B8B3C95C1}" presName="hierChild2" presStyleCnt="0"/>
      <dgm:spPr/>
      <dgm:t>
        <a:bodyPr/>
        <a:lstStyle/>
        <a:p>
          <a:endParaRPr lang="cs-CZ"/>
        </a:p>
      </dgm:t>
    </dgm:pt>
    <dgm:pt modelId="{3E813D59-CBEF-4CEC-A873-96366992A1B0}" type="pres">
      <dgm:prSet presAssocID="{0B334D69-55A7-4FBA-ABEC-817B8B3C95C1}" presName="hierChild3" presStyleCnt="0"/>
      <dgm:spPr/>
      <dgm:t>
        <a:bodyPr/>
        <a:lstStyle/>
        <a:p>
          <a:endParaRPr lang="cs-CZ"/>
        </a:p>
      </dgm:t>
    </dgm:pt>
    <dgm:pt modelId="{2C5A246C-1212-47D9-BFB9-74AF63A3E403}" type="pres">
      <dgm:prSet presAssocID="{2E43376C-013F-4979-9141-D699275B84A1}" presName="hierRoot1" presStyleCnt="0">
        <dgm:presLayoutVars>
          <dgm:hierBranch val="init"/>
        </dgm:presLayoutVars>
      </dgm:prSet>
      <dgm:spPr/>
      <dgm:t>
        <a:bodyPr/>
        <a:lstStyle/>
        <a:p>
          <a:endParaRPr lang="cs-CZ"/>
        </a:p>
      </dgm:t>
    </dgm:pt>
    <dgm:pt modelId="{5AF46C38-CE7B-4752-A971-EF5AFA79505F}" type="pres">
      <dgm:prSet presAssocID="{2E43376C-013F-4979-9141-D699275B84A1}" presName="rootComposite1" presStyleCnt="0"/>
      <dgm:spPr/>
      <dgm:t>
        <a:bodyPr/>
        <a:lstStyle/>
        <a:p>
          <a:endParaRPr lang="cs-CZ"/>
        </a:p>
      </dgm:t>
    </dgm:pt>
    <dgm:pt modelId="{E92BEC96-7C5E-45E0-B069-07495D0650E4}" type="pres">
      <dgm:prSet presAssocID="{2E43376C-013F-4979-9141-D699275B84A1}" presName="rootText1" presStyleLbl="node0" presStyleIdx="3" presStyleCnt="5" custScaleY="196224" custLinFactNeighborX="-1555" custLinFactNeighborY="6497">
        <dgm:presLayoutVars>
          <dgm:chPref val="3"/>
        </dgm:presLayoutVars>
      </dgm:prSet>
      <dgm:spPr/>
      <dgm:t>
        <a:bodyPr/>
        <a:lstStyle/>
        <a:p>
          <a:endParaRPr lang="cs-CZ"/>
        </a:p>
      </dgm:t>
    </dgm:pt>
    <dgm:pt modelId="{924BC938-1478-4E68-8113-529CF9F68C9C}" type="pres">
      <dgm:prSet presAssocID="{2E43376C-013F-4979-9141-D699275B84A1}" presName="rootConnector1" presStyleLbl="node1" presStyleIdx="0" presStyleCnt="0"/>
      <dgm:spPr/>
      <dgm:t>
        <a:bodyPr/>
        <a:lstStyle/>
        <a:p>
          <a:endParaRPr lang="cs-CZ"/>
        </a:p>
      </dgm:t>
    </dgm:pt>
    <dgm:pt modelId="{12A56C83-D4F6-47A5-9EB4-84C4CE104C73}" type="pres">
      <dgm:prSet presAssocID="{2E43376C-013F-4979-9141-D699275B84A1}" presName="hierChild2" presStyleCnt="0"/>
      <dgm:spPr/>
      <dgm:t>
        <a:bodyPr/>
        <a:lstStyle/>
        <a:p>
          <a:endParaRPr lang="cs-CZ"/>
        </a:p>
      </dgm:t>
    </dgm:pt>
    <dgm:pt modelId="{6B2F3500-A69B-47DE-ACAB-84D4B20DAC56}" type="pres">
      <dgm:prSet presAssocID="{2E43376C-013F-4979-9141-D699275B84A1}" presName="hierChild3" presStyleCnt="0"/>
      <dgm:spPr/>
      <dgm:t>
        <a:bodyPr/>
        <a:lstStyle/>
        <a:p>
          <a:endParaRPr lang="cs-CZ"/>
        </a:p>
      </dgm:t>
    </dgm:pt>
    <dgm:pt modelId="{08655893-A3A3-416D-A4C9-2695B77782B9}" type="pres">
      <dgm:prSet presAssocID="{DA47E0A8-7FAC-459C-B107-3A16D6DFA1A1}" presName="hierRoot1" presStyleCnt="0">
        <dgm:presLayoutVars>
          <dgm:hierBranch val="init"/>
        </dgm:presLayoutVars>
      </dgm:prSet>
      <dgm:spPr/>
      <dgm:t>
        <a:bodyPr/>
        <a:lstStyle/>
        <a:p>
          <a:endParaRPr lang="cs-CZ"/>
        </a:p>
      </dgm:t>
    </dgm:pt>
    <dgm:pt modelId="{807C15CD-CB07-4E00-9DAB-73BEC84FC284}" type="pres">
      <dgm:prSet presAssocID="{DA47E0A8-7FAC-459C-B107-3A16D6DFA1A1}" presName="rootComposite1" presStyleCnt="0"/>
      <dgm:spPr/>
      <dgm:t>
        <a:bodyPr/>
        <a:lstStyle/>
        <a:p>
          <a:endParaRPr lang="cs-CZ"/>
        </a:p>
      </dgm:t>
    </dgm:pt>
    <dgm:pt modelId="{598BD14F-7574-4722-A4ED-E9F2A4EF3641}" type="pres">
      <dgm:prSet presAssocID="{DA47E0A8-7FAC-459C-B107-3A16D6DFA1A1}" presName="rootText1" presStyleLbl="node0" presStyleIdx="4" presStyleCnt="5" custScaleY="199534" custLinFactNeighborX="6338" custLinFactNeighborY="5500">
        <dgm:presLayoutVars>
          <dgm:chPref val="3"/>
        </dgm:presLayoutVars>
      </dgm:prSet>
      <dgm:spPr/>
      <dgm:t>
        <a:bodyPr/>
        <a:lstStyle/>
        <a:p>
          <a:endParaRPr lang="cs-CZ"/>
        </a:p>
      </dgm:t>
    </dgm:pt>
    <dgm:pt modelId="{598EAF78-078D-4B17-94EE-8BC2FD867BC8}" type="pres">
      <dgm:prSet presAssocID="{DA47E0A8-7FAC-459C-B107-3A16D6DFA1A1}" presName="rootConnector1" presStyleLbl="node1" presStyleIdx="0" presStyleCnt="0"/>
      <dgm:spPr/>
      <dgm:t>
        <a:bodyPr/>
        <a:lstStyle/>
        <a:p>
          <a:endParaRPr lang="cs-CZ"/>
        </a:p>
      </dgm:t>
    </dgm:pt>
    <dgm:pt modelId="{57DBBCD9-14D7-4D1E-A9BA-FAD01CB24789}" type="pres">
      <dgm:prSet presAssocID="{DA47E0A8-7FAC-459C-B107-3A16D6DFA1A1}" presName="hierChild2" presStyleCnt="0"/>
      <dgm:spPr/>
      <dgm:t>
        <a:bodyPr/>
        <a:lstStyle/>
        <a:p>
          <a:endParaRPr lang="cs-CZ"/>
        </a:p>
      </dgm:t>
    </dgm:pt>
    <dgm:pt modelId="{C57093C0-6176-444E-9AEB-16F9C5864C93}" type="pres">
      <dgm:prSet presAssocID="{DA47E0A8-7FAC-459C-B107-3A16D6DFA1A1}" presName="hierChild3" presStyleCnt="0"/>
      <dgm:spPr/>
      <dgm:t>
        <a:bodyPr/>
        <a:lstStyle/>
        <a:p>
          <a:endParaRPr lang="cs-CZ"/>
        </a:p>
      </dgm:t>
    </dgm:pt>
  </dgm:ptLst>
  <dgm:cxnLst>
    <dgm:cxn modelId="{134B5380-44B3-4710-8CBC-ACA55FDB0AA1}" type="presOf" srcId="{519754E0-5B57-49B5-B013-E0803DCB3FC1}" destId="{0D9FAE67-2067-4922-8481-2771CC8175DD}" srcOrd="1" destOrd="0" presId="urn:microsoft.com/office/officeart/2005/8/layout/orgChart1"/>
    <dgm:cxn modelId="{20D0A958-E781-4802-8B9D-644C63B71F05}" type="presOf" srcId="{07BBBF04-097C-4FE9-ABF9-8766D5B24296}" destId="{645393A3-85DD-4305-895D-48E775FDF1BD}" srcOrd="0" destOrd="0" presId="urn:microsoft.com/office/officeart/2005/8/layout/orgChart1"/>
    <dgm:cxn modelId="{5F8C6096-BBD4-4B74-9555-F47A33C3AAD3}" srcId="{2E5BD243-3325-4872-B8E0-272DC5A7C891}" destId="{DE92C6F3-B207-46F4-92EF-C1550B6E67DD}" srcOrd="0" destOrd="0" parTransId="{27C7C60B-6083-43CE-98F1-77A0426F5475}" sibTransId="{14221B72-18FD-4E7F-891B-07C016DA8F9D}"/>
    <dgm:cxn modelId="{DD434BEE-0591-4EC9-9677-E9589B283227}" type="presOf" srcId="{2E43376C-013F-4979-9141-D699275B84A1}" destId="{E92BEC96-7C5E-45E0-B069-07495D0650E4}" srcOrd="0" destOrd="0" presId="urn:microsoft.com/office/officeart/2005/8/layout/orgChart1"/>
    <dgm:cxn modelId="{4CD4441D-D08E-473E-9C86-C341AB8848E6}" type="presOf" srcId="{DA47E0A8-7FAC-459C-B107-3A16D6DFA1A1}" destId="{598EAF78-078D-4B17-94EE-8BC2FD867BC8}" srcOrd="1" destOrd="0" presId="urn:microsoft.com/office/officeart/2005/8/layout/orgChart1"/>
    <dgm:cxn modelId="{FE977BA7-AE3A-4B43-B618-1CF54F688FA5}" srcId="{8D94427B-4652-41FA-B452-DFDEC63E2E2D}" destId="{007B9AAD-9556-4857-B6D1-C6CD5ABDDD8A}" srcOrd="0" destOrd="0" parTransId="{98B143C2-DB9C-4A15-A3C0-2F34B437AC2B}" sibTransId="{ABE0BC24-AB9C-4AA7-AC42-FBCAF01255A8}"/>
    <dgm:cxn modelId="{FB336AEF-3E21-469E-A721-29D1EBA4A2DA}" type="presOf" srcId="{0B334D69-55A7-4FBA-ABEC-817B8B3C95C1}" destId="{ED8467CD-22A8-4824-84E7-738DAB1048DE}" srcOrd="1" destOrd="0" presId="urn:microsoft.com/office/officeart/2005/8/layout/orgChart1"/>
    <dgm:cxn modelId="{DCA9DE59-2872-450A-9D77-9D6C7CF85208}" srcId="{C549B408-17D1-451F-AB90-898781A937BD}" destId="{07BBBF04-097C-4FE9-ABF9-8766D5B24296}" srcOrd="0" destOrd="0" parTransId="{D39398B9-1109-40F3-8466-FE47D86F9986}" sibTransId="{2A0A8F1C-91B5-47D3-8E44-6A42C006A1DE}"/>
    <dgm:cxn modelId="{57707C78-1026-4C49-8D41-DF79D2AD6875}" type="presOf" srcId="{2991E5B5-F333-4A1F-8B2E-A8A165DBEE5C}" destId="{E8023D53-25C2-4EF7-971C-9C40FD9AEBF3}" srcOrd="0" destOrd="0" presId="urn:microsoft.com/office/officeart/2005/8/layout/orgChart1"/>
    <dgm:cxn modelId="{5AE12360-E35C-4513-BE81-84500A4FB1FB}" type="presOf" srcId="{2991E5B5-F333-4A1F-8B2E-A8A165DBEE5C}" destId="{97170B09-62BF-4164-AA48-ECB62BE0251E}" srcOrd="1" destOrd="0" presId="urn:microsoft.com/office/officeart/2005/8/layout/orgChart1"/>
    <dgm:cxn modelId="{71E3F5F9-79B3-40D6-9746-AAA2367C101F}" type="presOf" srcId="{98B143C2-DB9C-4A15-A3C0-2F34B437AC2B}" destId="{89BD94BE-EF1D-4983-9903-226A5EF2F4CA}" srcOrd="0" destOrd="0" presId="urn:microsoft.com/office/officeart/2005/8/layout/orgChart1"/>
    <dgm:cxn modelId="{A01785BA-29AA-4A15-9EF3-53D92CE93490}" type="presOf" srcId="{2E5BD243-3325-4872-B8E0-272DC5A7C891}" destId="{EC4B7FBC-42F0-4D17-875E-4E7AB25E06D1}" srcOrd="1" destOrd="0" presId="urn:microsoft.com/office/officeart/2005/8/layout/orgChart1"/>
    <dgm:cxn modelId="{7E9FA7BC-4BE2-4E2D-83A2-008351ECA5F8}" type="presOf" srcId="{2A1D1A96-2B95-4049-8978-83DFAA90D5A4}" destId="{8389E509-85DA-4BC5-A599-6B338B73EAD5}" srcOrd="0" destOrd="0" presId="urn:microsoft.com/office/officeart/2005/8/layout/orgChart1"/>
    <dgm:cxn modelId="{3A7B9757-AB94-4662-8878-9C0F383C4317}" type="presOf" srcId="{7639FAA8-130D-484D-B808-6AA44DD4E639}" destId="{C6872CA1-469A-49E5-87BF-5D88AA45F74B}" srcOrd="0" destOrd="0" presId="urn:microsoft.com/office/officeart/2005/8/layout/orgChart1"/>
    <dgm:cxn modelId="{8E9796E2-22DC-4A29-808C-D13AC56A770B}" type="presOf" srcId="{A10CF979-E9E4-44E2-95DB-8DD2A2B66A32}" destId="{A988D3C4-61EE-4E71-999A-75A964527B28}" srcOrd="0" destOrd="0" presId="urn:microsoft.com/office/officeart/2005/8/layout/orgChart1"/>
    <dgm:cxn modelId="{BB2E30E1-3BB6-43B5-9FA7-F6D151166DE7}" type="presOf" srcId="{D39398B9-1109-40F3-8466-FE47D86F9986}" destId="{D8BEFFAC-85CF-40D8-8246-85230096450B}" srcOrd="0" destOrd="0" presId="urn:microsoft.com/office/officeart/2005/8/layout/orgChart1"/>
    <dgm:cxn modelId="{22AF9E17-F3D3-47A2-982B-A02BC1BDB028}" type="presOf" srcId="{1FA0395F-3874-464E-A248-88EBCDA963E5}" destId="{EFAA4F95-CB5F-42A5-AFB2-F4EBB8371406}" srcOrd="0" destOrd="0" presId="urn:microsoft.com/office/officeart/2005/8/layout/orgChart1"/>
    <dgm:cxn modelId="{12BEA45B-AC15-483E-B8F7-D0CEB5A3A642}" type="presOf" srcId="{007B9AAD-9556-4857-B6D1-C6CD5ABDDD8A}" destId="{AAC115FC-BEEE-4E9C-8587-47348F5B1CDD}" srcOrd="0" destOrd="0" presId="urn:microsoft.com/office/officeart/2005/8/layout/orgChart1"/>
    <dgm:cxn modelId="{1DFD734B-BA15-4425-AEE7-4E030A7804D4}" type="presOf" srcId="{8D94427B-4652-41FA-B452-DFDEC63E2E2D}" destId="{417BF8B2-239B-474B-9DCA-4C871C76C3B8}" srcOrd="1" destOrd="0" presId="urn:microsoft.com/office/officeart/2005/8/layout/orgChart1"/>
    <dgm:cxn modelId="{DD3124D9-CCF5-490D-B47F-FBBA100BA6DC}" type="presOf" srcId="{FCBC4888-FAA1-4E07-A16A-CEF009FEED51}" destId="{535504E7-3541-491A-B6BF-8DF163D8C34C}" srcOrd="0" destOrd="0" presId="urn:microsoft.com/office/officeart/2005/8/layout/orgChart1"/>
    <dgm:cxn modelId="{CFED2A28-3B4E-44A2-85C7-900A355E383E}" type="presOf" srcId="{91B3813C-89BF-4308-BFBA-1EC3F7F13183}" destId="{D3C3DBDE-6B1E-4FE3-ACFD-E889A21663F4}" srcOrd="0" destOrd="0" presId="urn:microsoft.com/office/officeart/2005/8/layout/orgChart1"/>
    <dgm:cxn modelId="{F0137055-8236-4453-9BAF-E8F7D160533A}" type="presOf" srcId="{1D233158-823F-43CE-8F0D-1F61742FA33E}" destId="{D5DD9303-C346-49F3-8108-E80379DCEB67}" srcOrd="0" destOrd="0" presId="urn:microsoft.com/office/officeart/2005/8/layout/orgChart1"/>
    <dgm:cxn modelId="{D13E4C64-5999-48F6-8F13-6F550C7AC9F7}" type="presOf" srcId="{5815322D-B99A-4030-8B93-02ED5F2BC950}" destId="{9A455268-A04D-45C9-BA9C-0076DEEE8AF0}" srcOrd="0" destOrd="0" presId="urn:microsoft.com/office/officeart/2005/8/layout/orgChart1"/>
    <dgm:cxn modelId="{EA0E9616-51FD-4686-B2E8-364C0C34F41A}" type="presOf" srcId="{0B334D69-55A7-4FBA-ABEC-817B8B3C95C1}" destId="{5045D3C0-F787-4966-A7DB-069310751CD5}" srcOrd="0" destOrd="0" presId="urn:microsoft.com/office/officeart/2005/8/layout/orgChart1"/>
    <dgm:cxn modelId="{22256D52-7FB8-444E-993E-7689D72D27D1}" srcId="{1FA0395F-3874-464E-A248-88EBCDA963E5}" destId="{0F723CE1-0385-4958-82E2-2FB323614214}" srcOrd="0" destOrd="0" parTransId="{FD1E3831-3ABF-4E2A-844B-65970967DD95}" sibTransId="{DE480402-B867-4DEF-A8F3-593B7B4A9E70}"/>
    <dgm:cxn modelId="{22B1B18C-2E34-4E73-9224-CB245F6F0808}" srcId="{07BBBF04-097C-4FE9-ABF9-8766D5B24296}" destId="{8D1A9456-0C63-478A-9990-3CA800D3BE00}" srcOrd="0" destOrd="0" parTransId="{7639FAA8-130D-484D-B808-6AA44DD4E639}" sibTransId="{4082BBBD-F815-4C32-BD6E-B40A2FE0ADA2}"/>
    <dgm:cxn modelId="{2A9E1D1C-248D-482C-BEA9-163EC008ECDE}" srcId="{2A1D1A96-2B95-4049-8978-83DFAA90D5A4}" destId="{C549B408-17D1-451F-AB90-898781A937BD}" srcOrd="0" destOrd="0" parTransId="{E23A00FC-53D8-4A0D-8B28-3E3FEFC09C67}" sibTransId="{B9B599D4-0DDB-493E-B73E-EB2E6D8B51FD}"/>
    <dgm:cxn modelId="{E0C747D7-004C-4E65-A6F3-3138606AACAC}" srcId="{2E5BD243-3325-4872-B8E0-272DC5A7C891}" destId="{519754E0-5B57-49B5-B013-E0803DCB3FC1}" srcOrd="1" destOrd="0" parTransId="{FCBC4888-FAA1-4E07-A16A-CEF009FEED51}" sibTransId="{7F2D5BF3-7832-4C83-AA8C-76FE14AB0471}"/>
    <dgm:cxn modelId="{3B04C14C-EBA2-4397-A270-6AC1E4800119}" type="presOf" srcId="{92F8BC11-3B27-4418-927F-2CE2D015A294}" destId="{1CF424EA-D09E-4006-9185-4D979BDC044C}" srcOrd="1" destOrd="0" presId="urn:microsoft.com/office/officeart/2005/8/layout/orgChart1"/>
    <dgm:cxn modelId="{55E7A340-F7AF-4166-81C3-58040B066718}" srcId="{1FA0395F-3874-464E-A248-88EBCDA963E5}" destId="{0B334D69-55A7-4FBA-ABEC-817B8B3C95C1}" srcOrd="2" destOrd="0" parTransId="{B2DB3173-A48D-466F-B26C-BC0F34927F34}" sibTransId="{501520CB-A47F-4814-894B-A41B57F0544B}"/>
    <dgm:cxn modelId="{5325C951-4B68-4422-9375-884EC6A0F69C}" srcId="{07BBBF04-097C-4FE9-ABF9-8766D5B24296}" destId="{0312EA1B-59AD-4085-9303-53EB1AE9255A}" srcOrd="1" destOrd="0" parTransId="{D09D2284-3AE6-483D-AB0E-9325A0D5C4DD}" sibTransId="{DCCC262F-7878-48AD-8277-D6BD5A6EE639}"/>
    <dgm:cxn modelId="{FB9A7086-DA5C-40F4-AFBF-4AA33C82F6F3}" type="presOf" srcId="{C549B408-17D1-451F-AB90-898781A937BD}" destId="{036FE990-29C3-4280-827C-81076914CC98}" srcOrd="0" destOrd="0" presId="urn:microsoft.com/office/officeart/2005/8/layout/orgChart1"/>
    <dgm:cxn modelId="{29C62AF7-5B4C-4926-96AD-702E829F041E}" type="presOf" srcId="{8D1A9456-0C63-478A-9990-3CA800D3BE00}" destId="{3BF11EA9-2B21-474C-AF1B-CD5654C2D370}" srcOrd="0" destOrd="0" presId="urn:microsoft.com/office/officeart/2005/8/layout/orgChart1"/>
    <dgm:cxn modelId="{28A15FF9-3232-4225-8F7A-F9A60B8CA57B}" type="presOf" srcId="{C549B408-17D1-451F-AB90-898781A937BD}" destId="{60579804-7470-4084-85F3-FEA33D1322AB}" srcOrd="1" destOrd="0" presId="urn:microsoft.com/office/officeart/2005/8/layout/orgChart1"/>
    <dgm:cxn modelId="{1111FBA7-1C36-4A74-B0CC-8A2F8815290E}" type="presOf" srcId="{007B9AAD-9556-4857-B6D1-C6CD5ABDDD8A}" destId="{DB323919-C8D1-47D7-85DC-B7090C2F3E5C}" srcOrd="1" destOrd="0" presId="urn:microsoft.com/office/officeart/2005/8/layout/orgChart1"/>
    <dgm:cxn modelId="{B0EBC411-1931-43C1-9535-4EAF52C287F0}" type="presOf" srcId="{519754E0-5B57-49B5-B013-E0803DCB3FC1}" destId="{583EB4ED-C74D-4840-A52A-8C20291BBEE2}" srcOrd="0" destOrd="0" presId="urn:microsoft.com/office/officeart/2005/8/layout/orgChart1"/>
    <dgm:cxn modelId="{140D389C-0D53-4D29-A0D1-D2605E906E4A}" type="presOf" srcId="{07BBBF04-097C-4FE9-ABF9-8766D5B24296}" destId="{B8496137-28EC-482B-934F-8CE9184C41A4}" srcOrd="1" destOrd="0" presId="urn:microsoft.com/office/officeart/2005/8/layout/orgChart1"/>
    <dgm:cxn modelId="{1DCEF4E5-9F75-4145-8305-737C3B4E7B80}" type="presOf" srcId="{8D94427B-4652-41FA-B452-DFDEC63E2E2D}" destId="{97CF754B-B8A8-4907-AA7B-D052BA2E3E42}" srcOrd="0" destOrd="0" presId="urn:microsoft.com/office/officeart/2005/8/layout/orgChart1"/>
    <dgm:cxn modelId="{5BDE541B-E94C-4434-A4CC-FCD9817D07AA}" type="presOf" srcId="{1D233158-823F-43CE-8F0D-1F61742FA33E}" destId="{92C7F4D9-B3AA-4AF2-9963-92CF11FE8933}" srcOrd="1" destOrd="0" presId="urn:microsoft.com/office/officeart/2005/8/layout/orgChart1"/>
    <dgm:cxn modelId="{647D7044-7C71-4141-A9C0-1F01BA275921}" srcId="{2A1D1A96-2B95-4049-8978-83DFAA90D5A4}" destId="{92F8BC11-3B27-4418-927F-2CE2D015A294}" srcOrd="1" destOrd="0" parTransId="{5815322D-B99A-4030-8B93-02ED5F2BC950}" sibTransId="{E6BC4B4B-B2DE-4E82-91AB-B9EF7A05A5C3}"/>
    <dgm:cxn modelId="{1CCA15A5-4699-461F-AA66-D4CCDDAE8365}" type="presOf" srcId="{27C7C60B-6083-43CE-98F1-77A0426F5475}" destId="{4BE2585F-9FCC-4C72-B0BA-09A1EA7D6ED8}" srcOrd="0" destOrd="0" presId="urn:microsoft.com/office/officeart/2005/8/layout/orgChart1"/>
    <dgm:cxn modelId="{0B3755AD-3D0A-4A10-A790-9204F35D7802}" type="presOf" srcId="{0312EA1B-59AD-4085-9303-53EB1AE9255A}" destId="{5312B284-F005-404F-81AB-1CD5E1F04953}" srcOrd="0" destOrd="0" presId="urn:microsoft.com/office/officeart/2005/8/layout/orgChart1"/>
    <dgm:cxn modelId="{64965622-803F-4646-ADDE-AEFEBE6EAC72}" type="presOf" srcId="{DE92C6F3-B207-46F4-92EF-C1550B6E67DD}" destId="{7D3F690A-3972-4326-8C37-8FF595586FFB}" srcOrd="0" destOrd="0" presId="urn:microsoft.com/office/officeart/2005/8/layout/orgChart1"/>
    <dgm:cxn modelId="{E02CE91F-865A-41AF-B322-199AE77DD49E}" type="presOf" srcId="{2E43376C-013F-4979-9141-D699275B84A1}" destId="{924BC938-1478-4E68-8113-529CF9F68C9C}" srcOrd="1" destOrd="0" presId="urn:microsoft.com/office/officeart/2005/8/layout/orgChart1"/>
    <dgm:cxn modelId="{F740C8C8-6671-4ED5-B05F-C674B2D38F48}" type="presOf" srcId="{DE92C6F3-B207-46F4-92EF-C1550B6E67DD}" destId="{8B62FF85-C3AA-43D0-95ED-815E89ED4DF8}" srcOrd="1" destOrd="0" presId="urn:microsoft.com/office/officeart/2005/8/layout/orgChart1"/>
    <dgm:cxn modelId="{4155298C-E93C-418D-8059-4425F8022734}" type="presOf" srcId="{DA47E0A8-7FAC-459C-B107-3A16D6DFA1A1}" destId="{598BD14F-7574-4722-A4ED-E9F2A4EF3641}" srcOrd="0" destOrd="0" presId="urn:microsoft.com/office/officeart/2005/8/layout/orgChart1"/>
    <dgm:cxn modelId="{7F7FFB06-94D4-4EA1-8C16-C7D1FB87A6A6}" type="presOf" srcId="{D09D2284-3AE6-483D-AB0E-9325A0D5C4DD}" destId="{CF24CA2F-192D-4CEA-B2D4-D8DDA7294DA4}" srcOrd="0" destOrd="0" presId="urn:microsoft.com/office/officeart/2005/8/layout/orgChart1"/>
    <dgm:cxn modelId="{48132F05-7E95-49C8-BADB-1FC8C7C103C9}" srcId="{2991E5B5-F333-4A1F-8B2E-A8A165DBEE5C}" destId="{8D94427B-4652-41FA-B452-DFDEC63E2E2D}" srcOrd="0" destOrd="0" parTransId="{91B3813C-89BF-4308-BFBA-1EC3F7F13183}" sibTransId="{17D7E5F5-B37C-4C0E-9C0B-080A8472D365}"/>
    <dgm:cxn modelId="{AEF6A1F2-BAA0-43A9-B1C2-D2220F3EA76D}" type="presOf" srcId="{2E5BD243-3325-4872-B8E0-272DC5A7C891}" destId="{7FEB4EBC-495F-437A-BBF8-6D8428E14B60}" srcOrd="0" destOrd="0" presId="urn:microsoft.com/office/officeart/2005/8/layout/orgChart1"/>
    <dgm:cxn modelId="{A47ECFB8-ECBF-4434-BF7E-280BE1D50052}" srcId="{1FA0395F-3874-464E-A248-88EBCDA963E5}" destId="{2E43376C-013F-4979-9141-D699275B84A1}" srcOrd="3" destOrd="0" parTransId="{98FDD8EA-E58A-4B5D-AF8A-FBE410F10881}" sibTransId="{9FC8DBE0-3386-4281-A7F8-1A525339D1F8}"/>
    <dgm:cxn modelId="{E0A31E2B-6ECB-4BCC-9262-D555B77A8626}" type="presOf" srcId="{8D1A9456-0C63-478A-9990-3CA800D3BE00}" destId="{A19373EE-DFA6-4973-850B-70945D1A5A17}" srcOrd="1" destOrd="0" presId="urn:microsoft.com/office/officeart/2005/8/layout/orgChart1"/>
    <dgm:cxn modelId="{1BB0433D-4295-468C-98FB-F01407771A69}" srcId="{92F8BC11-3B27-4418-927F-2CE2D015A294}" destId="{2E5BD243-3325-4872-B8E0-272DC5A7C891}" srcOrd="0" destOrd="0" parTransId="{5C0FF39D-4572-4816-8D84-6E81223F95C0}" sibTransId="{D564DBCB-75AB-4A86-AEC9-845BB5114CE7}"/>
    <dgm:cxn modelId="{56035AA6-851E-45C7-A642-6A3379ABA296}" type="presOf" srcId="{0312EA1B-59AD-4085-9303-53EB1AE9255A}" destId="{3CC0B17E-42EB-4FE3-877B-12B47797CF6F}" srcOrd="1" destOrd="0" presId="urn:microsoft.com/office/officeart/2005/8/layout/orgChart1"/>
    <dgm:cxn modelId="{535F11A7-0809-4700-B3C1-FDD5A07A1037}" srcId="{0F723CE1-0385-4958-82E2-2FB323614214}" destId="{2A1D1A96-2B95-4049-8978-83DFAA90D5A4}" srcOrd="0" destOrd="0" parTransId="{445B7AF4-620E-426C-9787-2B2A1FD1B8D1}" sibTransId="{DDCE2969-2FC3-4197-8A67-B89ACB170335}"/>
    <dgm:cxn modelId="{2157351A-14AE-4F44-B3B1-D851C7156477}" type="presOf" srcId="{2A1D1A96-2B95-4049-8978-83DFAA90D5A4}" destId="{8010BF49-A738-4DAB-B93D-F672001B4A9A}" srcOrd="1" destOrd="0" presId="urn:microsoft.com/office/officeart/2005/8/layout/orgChart1"/>
    <dgm:cxn modelId="{8B22AECF-3649-4F74-83EF-60BA57756443}" srcId="{1FA0395F-3874-464E-A248-88EBCDA963E5}" destId="{1D233158-823F-43CE-8F0D-1F61742FA33E}" srcOrd="1" destOrd="0" parTransId="{A01124DC-EA98-4E3F-970A-4D1DC983AEB4}" sibTransId="{5C4B37EC-3C98-4478-AE13-E6A015A06DB5}"/>
    <dgm:cxn modelId="{159149B6-C95E-45D1-B36C-866377CED6F2}" type="presOf" srcId="{445B7AF4-620E-426C-9787-2B2A1FD1B8D1}" destId="{FEC5D16D-6EDC-40DB-9E8D-4F3E12D93EA2}" srcOrd="0" destOrd="0" presId="urn:microsoft.com/office/officeart/2005/8/layout/orgChart1"/>
    <dgm:cxn modelId="{18DD4239-1B1D-4540-A98C-99FEE8227398}" type="presOf" srcId="{0F723CE1-0385-4958-82E2-2FB323614214}" destId="{1E9D5B74-CCEE-40F2-98B8-D3157EBCC0CB}" srcOrd="1" destOrd="0" presId="urn:microsoft.com/office/officeart/2005/8/layout/orgChart1"/>
    <dgm:cxn modelId="{17BEEE4D-9B4F-4136-942A-C78FF66D7ACB}" srcId="{2A1D1A96-2B95-4049-8978-83DFAA90D5A4}" destId="{2991E5B5-F333-4A1F-8B2E-A8A165DBEE5C}" srcOrd="2" destOrd="0" parTransId="{A10CF979-E9E4-44E2-95DB-8DD2A2B66A32}" sibTransId="{C21A9ABB-C6B2-4A5D-87B3-9197B7F2ADA6}"/>
    <dgm:cxn modelId="{A3DBE067-F8D0-4E4E-B43E-ABD93D1B12D8}" srcId="{1FA0395F-3874-464E-A248-88EBCDA963E5}" destId="{DA47E0A8-7FAC-459C-B107-3A16D6DFA1A1}" srcOrd="4" destOrd="0" parTransId="{CAED7637-7CE8-45B0-9DFB-8DCE96649BFD}" sibTransId="{AC76C18D-EB30-4F7C-9046-49A4A8934ACC}"/>
    <dgm:cxn modelId="{EF8C685E-14DF-425F-8B08-DAF141A587C9}" type="presOf" srcId="{E23A00FC-53D8-4A0D-8B28-3E3FEFC09C67}" destId="{FB07C017-3082-4A50-ADFE-53A5E9344CEA}" srcOrd="0" destOrd="0" presId="urn:microsoft.com/office/officeart/2005/8/layout/orgChart1"/>
    <dgm:cxn modelId="{0D8A9422-8069-4204-AC7B-F5600F564770}" type="presOf" srcId="{92F8BC11-3B27-4418-927F-2CE2D015A294}" destId="{D61EF265-784C-4755-A9A1-136F64CE0430}" srcOrd="0" destOrd="0" presId="urn:microsoft.com/office/officeart/2005/8/layout/orgChart1"/>
    <dgm:cxn modelId="{73D98962-FCE6-4C72-80DA-2A1451C07495}" type="presOf" srcId="{5C0FF39D-4572-4816-8D84-6E81223F95C0}" destId="{66B047F9-125E-4FE5-9DEB-B79CEDEA958D}" srcOrd="0" destOrd="0" presId="urn:microsoft.com/office/officeart/2005/8/layout/orgChart1"/>
    <dgm:cxn modelId="{514DD891-3C77-4E46-83A7-8DCF7D76BF92}" type="presOf" srcId="{0F723CE1-0385-4958-82E2-2FB323614214}" destId="{D3BC3F22-AF42-4641-B4CD-D58317E64C35}" srcOrd="0" destOrd="0" presId="urn:microsoft.com/office/officeart/2005/8/layout/orgChart1"/>
    <dgm:cxn modelId="{E750C5A1-17A8-4FE7-B86F-BDCE160C6176}" type="presParOf" srcId="{EFAA4F95-CB5F-42A5-AFB2-F4EBB8371406}" destId="{B77ABF52-407A-4B5A-9E7C-4A0606C1CE8C}" srcOrd="0" destOrd="0" presId="urn:microsoft.com/office/officeart/2005/8/layout/orgChart1"/>
    <dgm:cxn modelId="{481B8135-3B6A-473F-AF1C-193DEB402877}" type="presParOf" srcId="{B77ABF52-407A-4B5A-9E7C-4A0606C1CE8C}" destId="{A66DBA62-72E9-4ACF-9B3A-E3BF80F3D680}" srcOrd="0" destOrd="0" presId="urn:microsoft.com/office/officeart/2005/8/layout/orgChart1"/>
    <dgm:cxn modelId="{35F13888-009C-411D-99D2-9A81BCD13FEC}" type="presParOf" srcId="{A66DBA62-72E9-4ACF-9B3A-E3BF80F3D680}" destId="{D3BC3F22-AF42-4641-B4CD-D58317E64C35}" srcOrd="0" destOrd="0" presId="urn:microsoft.com/office/officeart/2005/8/layout/orgChart1"/>
    <dgm:cxn modelId="{E12B5F01-FE5D-4B21-AB88-66A5D4FEE805}" type="presParOf" srcId="{A66DBA62-72E9-4ACF-9B3A-E3BF80F3D680}" destId="{1E9D5B74-CCEE-40F2-98B8-D3157EBCC0CB}" srcOrd="1" destOrd="0" presId="urn:microsoft.com/office/officeart/2005/8/layout/orgChart1"/>
    <dgm:cxn modelId="{67443940-5019-4421-BBF9-A596F7D00E94}" type="presParOf" srcId="{B77ABF52-407A-4B5A-9E7C-4A0606C1CE8C}" destId="{FD21BFD5-1CA7-4889-A562-404BC06B4DA5}" srcOrd="1" destOrd="0" presId="urn:microsoft.com/office/officeart/2005/8/layout/orgChart1"/>
    <dgm:cxn modelId="{D574230D-C846-4E40-A1F0-0A0A6DF89104}" type="presParOf" srcId="{FD21BFD5-1CA7-4889-A562-404BC06B4DA5}" destId="{FEC5D16D-6EDC-40DB-9E8D-4F3E12D93EA2}" srcOrd="0" destOrd="0" presId="urn:microsoft.com/office/officeart/2005/8/layout/orgChart1"/>
    <dgm:cxn modelId="{EE767236-7E48-41AE-B9A7-57ACFF437353}" type="presParOf" srcId="{FD21BFD5-1CA7-4889-A562-404BC06B4DA5}" destId="{00CE60B3-0919-4131-9D50-A94B56BDEF5C}" srcOrd="1" destOrd="0" presId="urn:microsoft.com/office/officeart/2005/8/layout/orgChart1"/>
    <dgm:cxn modelId="{50EF5CCD-51C4-402F-9C7A-D56C7126FA6A}" type="presParOf" srcId="{00CE60B3-0919-4131-9D50-A94B56BDEF5C}" destId="{EE450333-2185-4D23-9E2C-143AA4ED2AA5}" srcOrd="0" destOrd="0" presId="urn:microsoft.com/office/officeart/2005/8/layout/orgChart1"/>
    <dgm:cxn modelId="{76C3C8BA-866E-47B2-9E32-17F9A2B036E9}" type="presParOf" srcId="{EE450333-2185-4D23-9E2C-143AA4ED2AA5}" destId="{8389E509-85DA-4BC5-A599-6B338B73EAD5}" srcOrd="0" destOrd="0" presId="urn:microsoft.com/office/officeart/2005/8/layout/orgChart1"/>
    <dgm:cxn modelId="{609D964C-410B-41D3-9113-D6AC2B185AFB}" type="presParOf" srcId="{EE450333-2185-4D23-9E2C-143AA4ED2AA5}" destId="{8010BF49-A738-4DAB-B93D-F672001B4A9A}" srcOrd="1" destOrd="0" presId="urn:microsoft.com/office/officeart/2005/8/layout/orgChart1"/>
    <dgm:cxn modelId="{0CD3EE4C-4602-45B7-A85B-A0CA8042388D}" type="presParOf" srcId="{00CE60B3-0919-4131-9D50-A94B56BDEF5C}" destId="{D36A9D77-0D19-4B18-A237-D19541F5CB86}" srcOrd="1" destOrd="0" presId="urn:microsoft.com/office/officeart/2005/8/layout/orgChart1"/>
    <dgm:cxn modelId="{38272EBB-F34C-4BC1-9F3D-62364F423C66}" type="presParOf" srcId="{D36A9D77-0D19-4B18-A237-D19541F5CB86}" destId="{FB07C017-3082-4A50-ADFE-53A5E9344CEA}" srcOrd="0" destOrd="0" presId="urn:microsoft.com/office/officeart/2005/8/layout/orgChart1"/>
    <dgm:cxn modelId="{0446942D-2387-43E7-9872-6369451A8133}" type="presParOf" srcId="{D36A9D77-0D19-4B18-A237-D19541F5CB86}" destId="{75A05ED2-717B-47E4-A799-C297F6923791}" srcOrd="1" destOrd="0" presId="urn:microsoft.com/office/officeart/2005/8/layout/orgChart1"/>
    <dgm:cxn modelId="{3DF46664-C950-4A34-8743-45BFCC407A4A}" type="presParOf" srcId="{75A05ED2-717B-47E4-A799-C297F6923791}" destId="{39A573C4-770F-4BEA-A987-738D66992CD9}" srcOrd="0" destOrd="0" presId="urn:microsoft.com/office/officeart/2005/8/layout/orgChart1"/>
    <dgm:cxn modelId="{A6BEC37A-DB91-410D-BD25-BF723E592CC9}" type="presParOf" srcId="{39A573C4-770F-4BEA-A987-738D66992CD9}" destId="{036FE990-29C3-4280-827C-81076914CC98}" srcOrd="0" destOrd="0" presId="urn:microsoft.com/office/officeart/2005/8/layout/orgChart1"/>
    <dgm:cxn modelId="{1DB0DB05-A63E-492E-8AB0-716329A9EB5C}" type="presParOf" srcId="{39A573C4-770F-4BEA-A987-738D66992CD9}" destId="{60579804-7470-4084-85F3-FEA33D1322AB}" srcOrd="1" destOrd="0" presId="urn:microsoft.com/office/officeart/2005/8/layout/orgChart1"/>
    <dgm:cxn modelId="{607D4928-09F9-4957-AA57-E701B986A158}" type="presParOf" srcId="{75A05ED2-717B-47E4-A799-C297F6923791}" destId="{8492222D-2247-416F-B4EE-3C5851B6CFF3}" srcOrd="1" destOrd="0" presId="urn:microsoft.com/office/officeart/2005/8/layout/orgChart1"/>
    <dgm:cxn modelId="{2DC90B30-15B4-4315-B199-ABA6D89043DA}" type="presParOf" srcId="{8492222D-2247-416F-B4EE-3C5851B6CFF3}" destId="{D8BEFFAC-85CF-40D8-8246-85230096450B}" srcOrd="0" destOrd="0" presId="urn:microsoft.com/office/officeart/2005/8/layout/orgChart1"/>
    <dgm:cxn modelId="{3BFB4F20-FDE1-4E59-A3DE-CB60829364AF}" type="presParOf" srcId="{8492222D-2247-416F-B4EE-3C5851B6CFF3}" destId="{EE17EA65-C74F-4E08-9D1D-5EE41E40E99C}" srcOrd="1" destOrd="0" presId="urn:microsoft.com/office/officeart/2005/8/layout/orgChart1"/>
    <dgm:cxn modelId="{CD4F3410-CC39-400A-A9D9-04AF42CC747A}" type="presParOf" srcId="{EE17EA65-C74F-4E08-9D1D-5EE41E40E99C}" destId="{9065768F-CD18-45F7-A3D8-5E2FE4DE73D6}" srcOrd="0" destOrd="0" presId="urn:microsoft.com/office/officeart/2005/8/layout/orgChart1"/>
    <dgm:cxn modelId="{41EA7659-E934-409B-83E2-7B9A14A57FE2}" type="presParOf" srcId="{9065768F-CD18-45F7-A3D8-5E2FE4DE73D6}" destId="{645393A3-85DD-4305-895D-48E775FDF1BD}" srcOrd="0" destOrd="0" presId="urn:microsoft.com/office/officeart/2005/8/layout/orgChart1"/>
    <dgm:cxn modelId="{6052BDEC-CDD7-4917-9D58-069E72E0DB0C}" type="presParOf" srcId="{9065768F-CD18-45F7-A3D8-5E2FE4DE73D6}" destId="{B8496137-28EC-482B-934F-8CE9184C41A4}" srcOrd="1" destOrd="0" presId="urn:microsoft.com/office/officeart/2005/8/layout/orgChart1"/>
    <dgm:cxn modelId="{12344734-6F6B-46BF-A01C-A77A31958896}" type="presParOf" srcId="{EE17EA65-C74F-4E08-9D1D-5EE41E40E99C}" destId="{886DEE9F-6CD8-446B-9E63-04316735CDE9}" srcOrd="1" destOrd="0" presId="urn:microsoft.com/office/officeart/2005/8/layout/orgChart1"/>
    <dgm:cxn modelId="{52F9BC4B-7981-47AE-B6F2-E6E19ABD0C8E}" type="presParOf" srcId="{886DEE9F-6CD8-446B-9E63-04316735CDE9}" destId="{C6872CA1-469A-49E5-87BF-5D88AA45F74B}" srcOrd="0" destOrd="0" presId="urn:microsoft.com/office/officeart/2005/8/layout/orgChart1"/>
    <dgm:cxn modelId="{74188B34-9947-4E56-B822-1D943315F31D}" type="presParOf" srcId="{886DEE9F-6CD8-446B-9E63-04316735CDE9}" destId="{10BE3A4C-E706-4194-B4FE-225BDB07640F}" srcOrd="1" destOrd="0" presId="urn:microsoft.com/office/officeart/2005/8/layout/orgChart1"/>
    <dgm:cxn modelId="{78F1235F-DB84-4138-92C1-AD305D19F79E}" type="presParOf" srcId="{10BE3A4C-E706-4194-B4FE-225BDB07640F}" destId="{BD08DA41-1A11-4A22-8A7A-49BC03B0125C}" srcOrd="0" destOrd="0" presId="urn:microsoft.com/office/officeart/2005/8/layout/orgChart1"/>
    <dgm:cxn modelId="{C2C09B44-3E90-4A90-A4B9-3614A0CFBBCC}" type="presParOf" srcId="{BD08DA41-1A11-4A22-8A7A-49BC03B0125C}" destId="{3BF11EA9-2B21-474C-AF1B-CD5654C2D370}" srcOrd="0" destOrd="0" presId="urn:microsoft.com/office/officeart/2005/8/layout/orgChart1"/>
    <dgm:cxn modelId="{F2F6A7AB-C40F-49A5-B421-8EEB8193482B}" type="presParOf" srcId="{BD08DA41-1A11-4A22-8A7A-49BC03B0125C}" destId="{A19373EE-DFA6-4973-850B-70945D1A5A17}" srcOrd="1" destOrd="0" presId="urn:microsoft.com/office/officeart/2005/8/layout/orgChart1"/>
    <dgm:cxn modelId="{67DACB9A-26A6-45FB-AC84-7595635B607D}" type="presParOf" srcId="{10BE3A4C-E706-4194-B4FE-225BDB07640F}" destId="{91C6ABFC-C24C-419B-B118-1EE042FF2E80}" srcOrd="1" destOrd="0" presId="urn:microsoft.com/office/officeart/2005/8/layout/orgChart1"/>
    <dgm:cxn modelId="{06B97051-950C-4667-9AB9-E430E4E9D5C4}" type="presParOf" srcId="{10BE3A4C-E706-4194-B4FE-225BDB07640F}" destId="{95226E3F-6645-4BAF-A08B-A366EC4F2321}" srcOrd="2" destOrd="0" presId="urn:microsoft.com/office/officeart/2005/8/layout/orgChart1"/>
    <dgm:cxn modelId="{903836ED-41A8-478B-A747-BDEB37D44A12}" type="presParOf" srcId="{886DEE9F-6CD8-446B-9E63-04316735CDE9}" destId="{CF24CA2F-192D-4CEA-B2D4-D8DDA7294DA4}" srcOrd="2" destOrd="0" presId="urn:microsoft.com/office/officeart/2005/8/layout/orgChart1"/>
    <dgm:cxn modelId="{AFCFEED6-BDBC-4ADB-B0E0-E2D31E600B9A}" type="presParOf" srcId="{886DEE9F-6CD8-446B-9E63-04316735CDE9}" destId="{CB29CEF1-B4E5-47BE-ABCD-2F3796CCE254}" srcOrd="3" destOrd="0" presId="urn:microsoft.com/office/officeart/2005/8/layout/orgChart1"/>
    <dgm:cxn modelId="{4494E37A-5294-4DF4-B4C9-1547A8B4E11D}" type="presParOf" srcId="{CB29CEF1-B4E5-47BE-ABCD-2F3796CCE254}" destId="{49730C39-2AFC-49B0-AB15-4E4A0AA3A706}" srcOrd="0" destOrd="0" presId="urn:microsoft.com/office/officeart/2005/8/layout/orgChart1"/>
    <dgm:cxn modelId="{130BB045-0912-42F4-9542-7D857AEB0649}" type="presParOf" srcId="{49730C39-2AFC-49B0-AB15-4E4A0AA3A706}" destId="{5312B284-F005-404F-81AB-1CD5E1F04953}" srcOrd="0" destOrd="0" presId="urn:microsoft.com/office/officeart/2005/8/layout/orgChart1"/>
    <dgm:cxn modelId="{C9735437-4C8A-48C0-9AA7-0DC22FB573EE}" type="presParOf" srcId="{49730C39-2AFC-49B0-AB15-4E4A0AA3A706}" destId="{3CC0B17E-42EB-4FE3-877B-12B47797CF6F}" srcOrd="1" destOrd="0" presId="urn:microsoft.com/office/officeart/2005/8/layout/orgChart1"/>
    <dgm:cxn modelId="{39A458A0-79BC-469D-AE5C-E5F2B6473EC0}" type="presParOf" srcId="{CB29CEF1-B4E5-47BE-ABCD-2F3796CCE254}" destId="{F237951C-0A3E-4169-9D09-B9BBCCD75A64}" srcOrd="1" destOrd="0" presId="urn:microsoft.com/office/officeart/2005/8/layout/orgChart1"/>
    <dgm:cxn modelId="{0A68EFDC-4C4F-4B11-8804-22CD652C50BB}" type="presParOf" srcId="{CB29CEF1-B4E5-47BE-ABCD-2F3796CCE254}" destId="{8B53AA79-C8E6-407A-96C3-A2049CF7D368}" srcOrd="2" destOrd="0" presId="urn:microsoft.com/office/officeart/2005/8/layout/orgChart1"/>
    <dgm:cxn modelId="{CE0D8995-F1F1-4029-BA48-FB0F4545A70E}" type="presParOf" srcId="{EE17EA65-C74F-4E08-9D1D-5EE41E40E99C}" destId="{DEB3CA8B-02E1-408F-B68C-3EFD7532EB1A}" srcOrd="2" destOrd="0" presId="urn:microsoft.com/office/officeart/2005/8/layout/orgChart1"/>
    <dgm:cxn modelId="{5776CBDA-3939-4A19-8052-D3A98B31A203}" type="presParOf" srcId="{75A05ED2-717B-47E4-A799-C297F6923791}" destId="{D028DE51-AE6C-4040-B32D-095AD2DFA95A}" srcOrd="2" destOrd="0" presId="urn:microsoft.com/office/officeart/2005/8/layout/orgChart1"/>
    <dgm:cxn modelId="{AA153CDF-1C35-4918-BA3E-23BE6AC936D5}" type="presParOf" srcId="{D36A9D77-0D19-4B18-A237-D19541F5CB86}" destId="{9A455268-A04D-45C9-BA9C-0076DEEE8AF0}" srcOrd="2" destOrd="0" presId="urn:microsoft.com/office/officeart/2005/8/layout/orgChart1"/>
    <dgm:cxn modelId="{9069F069-D4CC-4FD2-9380-51B7FCB4D017}" type="presParOf" srcId="{D36A9D77-0D19-4B18-A237-D19541F5CB86}" destId="{901F2E8B-DE2E-44C3-BC69-9D659159F639}" srcOrd="3" destOrd="0" presId="urn:microsoft.com/office/officeart/2005/8/layout/orgChart1"/>
    <dgm:cxn modelId="{7DFF6433-2908-4EC2-A8FB-7406A4B7A345}" type="presParOf" srcId="{901F2E8B-DE2E-44C3-BC69-9D659159F639}" destId="{BEA759DF-EBBF-4CFE-B4A4-FAA24F40E5F7}" srcOrd="0" destOrd="0" presId="urn:microsoft.com/office/officeart/2005/8/layout/orgChart1"/>
    <dgm:cxn modelId="{5ADE27B3-F232-40BF-A183-298B59D7F1C5}" type="presParOf" srcId="{BEA759DF-EBBF-4CFE-B4A4-FAA24F40E5F7}" destId="{D61EF265-784C-4755-A9A1-136F64CE0430}" srcOrd="0" destOrd="0" presId="urn:microsoft.com/office/officeart/2005/8/layout/orgChart1"/>
    <dgm:cxn modelId="{0DCC5F39-64EC-4F17-A679-44E4AA816DF7}" type="presParOf" srcId="{BEA759DF-EBBF-4CFE-B4A4-FAA24F40E5F7}" destId="{1CF424EA-D09E-4006-9185-4D979BDC044C}" srcOrd="1" destOrd="0" presId="urn:microsoft.com/office/officeart/2005/8/layout/orgChart1"/>
    <dgm:cxn modelId="{DCC18D6A-EC68-4D89-8E30-D7F5115BA0F0}" type="presParOf" srcId="{901F2E8B-DE2E-44C3-BC69-9D659159F639}" destId="{4C1F4F03-113C-461A-9521-3F988742FFFC}" srcOrd="1" destOrd="0" presId="urn:microsoft.com/office/officeart/2005/8/layout/orgChart1"/>
    <dgm:cxn modelId="{178E8813-5872-4833-8912-7F01E18BA0EA}" type="presParOf" srcId="{4C1F4F03-113C-461A-9521-3F988742FFFC}" destId="{66B047F9-125E-4FE5-9DEB-B79CEDEA958D}" srcOrd="0" destOrd="0" presId="urn:microsoft.com/office/officeart/2005/8/layout/orgChart1"/>
    <dgm:cxn modelId="{EB86FFD1-5D00-4C72-8A4E-04D328461917}" type="presParOf" srcId="{4C1F4F03-113C-461A-9521-3F988742FFFC}" destId="{420184D7-8FA0-42B3-BB93-A6834B24698B}" srcOrd="1" destOrd="0" presId="urn:microsoft.com/office/officeart/2005/8/layout/orgChart1"/>
    <dgm:cxn modelId="{573C4F84-B570-44FB-96AD-5F156348A089}" type="presParOf" srcId="{420184D7-8FA0-42B3-BB93-A6834B24698B}" destId="{F807F45E-57FF-4CAB-9EE8-932EA5363507}" srcOrd="0" destOrd="0" presId="urn:microsoft.com/office/officeart/2005/8/layout/orgChart1"/>
    <dgm:cxn modelId="{FC59ED30-432E-45BF-A35F-5FF3F43EA7F8}" type="presParOf" srcId="{F807F45E-57FF-4CAB-9EE8-932EA5363507}" destId="{7FEB4EBC-495F-437A-BBF8-6D8428E14B60}" srcOrd="0" destOrd="0" presId="urn:microsoft.com/office/officeart/2005/8/layout/orgChart1"/>
    <dgm:cxn modelId="{60713CBF-7C66-4711-AE85-C4661D037CC0}" type="presParOf" srcId="{F807F45E-57FF-4CAB-9EE8-932EA5363507}" destId="{EC4B7FBC-42F0-4D17-875E-4E7AB25E06D1}" srcOrd="1" destOrd="0" presId="urn:microsoft.com/office/officeart/2005/8/layout/orgChart1"/>
    <dgm:cxn modelId="{5973B224-FD7F-44CC-8462-3C86D2EF867D}" type="presParOf" srcId="{420184D7-8FA0-42B3-BB93-A6834B24698B}" destId="{AADA72C1-7380-475A-84B6-9DAF724966C4}" srcOrd="1" destOrd="0" presId="urn:microsoft.com/office/officeart/2005/8/layout/orgChart1"/>
    <dgm:cxn modelId="{1767DD03-C2F5-41A4-A6B2-491A919F5B63}" type="presParOf" srcId="{AADA72C1-7380-475A-84B6-9DAF724966C4}" destId="{4BE2585F-9FCC-4C72-B0BA-09A1EA7D6ED8}" srcOrd="0" destOrd="0" presId="urn:microsoft.com/office/officeart/2005/8/layout/orgChart1"/>
    <dgm:cxn modelId="{2164D923-727C-429B-85E7-8223C7977C6F}" type="presParOf" srcId="{AADA72C1-7380-475A-84B6-9DAF724966C4}" destId="{7B3F35EC-5DBB-4A10-9676-2BF1A55D661B}" srcOrd="1" destOrd="0" presId="urn:microsoft.com/office/officeart/2005/8/layout/orgChart1"/>
    <dgm:cxn modelId="{2D2B0FF4-E58E-4CF5-8566-F02E689F5203}" type="presParOf" srcId="{7B3F35EC-5DBB-4A10-9676-2BF1A55D661B}" destId="{8F0B393E-E221-4CE4-B3DB-9B98D84F8E2C}" srcOrd="0" destOrd="0" presId="urn:microsoft.com/office/officeart/2005/8/layout/orgChart1"/>
    <dgm:cxn modelId="{782A9C3A-B5CF-45BD-BE16-328F6396572C}" type="presParOf" srcId="{8F0B393E-E221-4CE4-B3DB-9B98D84F8E2C}" destId="{7D3F690A-3972-4326-8C37-8FF595586FFB}" srcOrd="0" destOrd="0" presId="urn:microsoft.com/office/officeart/2005/8/layout/orgChart1"/>
    <dgm:cxn modelId="{329D7194-94D0-4311-804E-4D4EBB21ECE8}" type="presParOf" srcId="{8F0B393E-E221-4CE4-B3DB-9B98D84F8E2C}" destId="{8B62FF85-C3AA-43D0-95ED-815E89ED4DF8}" srcOrd="1" destOrd="0" presId="urn:microsoft.com/office/officeart/2005/8/layout/orgChart1"/>
    <dgm:cxn modelId="{CE78A766-B450-42BF-9604-24B963EDA9AE}" type="presParOf" srcId="{7B3F35EC-5DBB-4A10-9676-2BF1A55D661B}" destId="{2435057E-3FD5-4DFA-976F-B8B496C7A0A0}" srcOrd="1" destOrd="0" presId="urn:microsoft.com/office/officeart/2005/8/layout/orgChart1"/>
    <dgm:cxn modelId="{AB22B480-294A-4B1C-AB6D-64181518B23A}" type="presParOf" srcId="{7B3F35EC-5DBB-4A10-9676-2BF1A55D661B}" destId="{C1E686AA-E5A1-4879-AAA1-226875E611F1}" srcOrd="2" destOrd="0" presId="urn:microsoft.com/office/officeart/2005/8/layout/orgChart1"/>
    <dgm:cxn modelId="{884D6380-F1E2-4F51-8D25-82D5A00A40A0}" type="presParOf" srcId="{AADA72C1-7380-475A-84B6-9DAF724966C4}" destId="{535504E7-3541-491A-B6BF-8DF163D8C34C}" srcOrd="2" destOrd="0" presId="urn:microsoft.com/office/officeart/2005/8/layout/orgChart1"/>
    <dgm:cxn modelId="{004B00D2-B23D-4564-A5A5-27C6103F9BB4}" type="presParOf" srcId="{AADA72C1-7380-475A-84B6-9DAF724966C4}" destId="{C5A04C29-B9E9-4BE7-870E-1F4B35D744BF}" srcOrd="3" destOrd="0" presId="urn:microsoft.com/office/officeart/2005/8/layout/orgChart1"/>
    <dgm:cxn modelId="{BE69F8D6-5931-47EB-A6C9-7F2039735DDC}" type="presParOf" srcId="{C5A04C29-B9E9-4BE7-870E-1F4B35D744BF}" destId="{59988676-E90A-4815-8869-B364B69E2698}" srcOrd="0" destOrd="0" presId="urn:microsoft.com/office/officeart/2005/8/layout/orgChart1"/>
    <dgm:cxn modelId="{25E69A56-9565-4C81-9340-B95C4EC563A3}" type="presParOf" srcId="{59988676-E90A-4815-8869-B364B69E2698}" destId="{583EB4ED-C74D-4840-A52A-8C20291BBEE2}" srcOrd="0" destOrd="0" presId="urn:microsoft.com/office/officeart/2005/8/layout/orgChart1"/>
    <dgm:cxn modelId="{C5BFDF5D-FE62-485F-8BED-25C5784AF23A}" type="presParOf" srcId="{59988676-E90A-4815-8869-B364B69E2698}" destId="{0D9FAE67-2067-4922-8481-2771CC8175DD}" srcOrd="1" destOrd="0" presId="urn:microsoft.com/office/officeart/2005/8/layout/orgChart1"/>
    <dgm:cxn modelId="{FB847996-EA0A-4290-AA2D-BBE3E7BEF42F}" type="presParOf" srcId="{C5A04C29-B9E9-4BE7-870E-1F4B35D744BF}" destId="{DEC5C0BF-CF05-425A-A5FD-D2B6AD57FE6C}" srcOrd="1" destOrd="0" presId="urn:microsoft.com/office/officeart/2005/8/layout/orgChart1"/>
    <dgm:cxn modelId="{489A9A96-34A3-40AE-B8CF-8733C0434FE0}" type="presParOf" srcId="{C5A04C29-B9E9-4BE7-870E-1F4B35D744BF}" destId="{3A9ECF75-0A30-4361-9924-DBCBA412F6F5}" srcOrd="2" destOrd="0" presId="urn:microsoft.com/office/officeart/2005/8/layout/orgChart1"/>
    <dgm:cxn modelId="{99374801-F320-4991-A18F-2CFBBAB20E42}" type="presParOf" srcId="{420184D7-8FA0-42B3-BB93-A6834B24698B}" destId="{CB38B451-062B-43ED-97C3-75D2EB235E47}" srcOrd="2" destOrd="0" presId="urn:microsoft.com/office/officeart/2005/8/layout/orgChart1"/>
    <dgm:cxn modelId="{B74DC30D-7153-473A-AEC7-F8819738C6AB}" type="presParOf" srcId="{901F2E8B-DE2E-44C3-BC69-9D659159F639}" destId="{DD6CFE37-33CD-4B18-81D5-26FE9587A06B}" srcOrd="2" destOrd="0" presId="urn:microsoft.com/office/officeart/2005/8/layout/orgChart1"/>
    <dgm:cxn modelId="{DF6DF756-74AB-448F-A9B5-F056EDB2CAB2}" type="presParOf" srcId="{D36A9D77-0D19-4B18-A237-D19541F5CB86}" destId="{A988D3C4-61EE-4E71-999A-75A964527B28}" srcOrd="4" destOrd="0" presId="urn:microsoft.com/office/officeart/2005/8/layout/orgChart1"/>
    <dgm:cxn modelId="{389CD22D-EB5B-4BB1-8EA2-C3B2E4877DD5}" type="presParOf" srcId="{D36A9D77-0D19-4B18-A237-D19541F5CB86}" destId="{7EB65B06-2DAE-4319-AAD3-06A2A6C97482}" srcOrd="5" destOrd="0" presId="urn:microsoft.com/office/officeart/2005/8/layout/orgChart1"/>
    <dgm:cxn modelId="{E299EDAC-5F5F-44BC-B0A5-E5CA44B70C91}" type="presParOf" srcId="{7EB65B06-2DAE-4319-AAD3-06A2A6C97482}" destId="{F9D719C2-7E88-4989-8121-3D032F4412F2}" srcOrd="0" destOrd="0" presId="urn:microsoft.com/office/officeart/2005/8/layout/orgChart1"/>
    <dgm:cxn modelId="{DA075737-7531-4C94-B673-11A69A206735}" type="presParOf" srcId="{F9D719C2-7E88-4989-8121-3D032F4412F2}" destId="{E8023D53-25C2-4EF7-971C-9C40FD9AEBF3}" srcOrd="0" destOrd="0" presId="urn:microsoft.com/office/officeart/2005/8/layout/orgChart1"/>
    <dgm:cxn modelId="{8695CEB6-7B19-42AA-BB91-3200E6ECE777}" type="presParOf" srcId="{F9D719C2-7E88-4989-8121-3D032F4412F2}" destId="{97170B09-62BF-4164-AA48-ECB62BE0251E}" srcOrd="1" destOrd="0" presId="urn:microsoft.com/office/officeart/2005/8/layout/orgChart1"/>
    <dgm:cxn modelId="{5DEABD22-2B54-4BDB-B4DC-2024B4CD16CA}" type="presParOf" srcId="{7EB65B06-2DAE-4319-AAD3-06A2A6C97482}" destId="{F8622FBE-C9D6-4CEC-971C-3A7395CCFF84}" srcOrd="1" destOrd="0" presId="urn:microsoft.com/office/officeart/2005/8/layout/orgChart1"/>
    <dgm:cxn modelId="{602153C0-4941-45D3-A488-6617A3D9F1CE}" type="presParOf" srcId="{F8622FBE-C9D6-4CEC-971C-3A7395CCFF84}" destId="{D3C3DBDE-6B1E-4FE3-ACFD-E889A21663F4}" srcOrd="0" destOrd="0" presId="urn:microsoft.com/office/officeart/2005/8/layout/orgChart1"/>
    <dgm:cxn modelId="{0828DFDB-D707-4DB8-BAA3-AC90B48AEDB7}" type="presParOf" srcId="{F8622FBE-C9D6-4CEC-971C-3A7395CCFF84}" destId="{5EF3863E-29B5-4103-ADC1-36D4EF69837C}" srcOrd="1" destOrd="0" presId="urn:microsoft.com/office/officeart/2005/8/layout/orgChart1"/>
    <dgm:cxn modelId="{83907446-D9A6-4A2E-A8F1-6EE9858C5713}" type="presParOf" srcId="{5EF3863E-29B5-4103-ADC1-36D4EF69837C}" destId="{D09296D4-D8D9-403A-96D9-B4E2849364B5}" srcOrd="0" destOrd="0" presId="urn:microsoft.com/office/officeart/2005/8/layout/orgChart1"/>
    <dgm:cxn modelId="{C7C3BA7B-49A9-4144-80A3-A2B4100A1BD8}" type="presParOf" srcId="{D09296D4-D8D9-403A-96D9-B4E2849364B5}" destId="{97CF754B-B8A8-4907-AA7B-D052BA2E3E42}" srcOrd="0" destOrd="0" presId="urn:microsoft.com/office/officeart/2005/8/layout/orgChart1"/>
    <dgm:cxn modelId="{8F2D2793-C39F-4832-AE2C-CB4088277E90}" type="presParOf" srcId="{D09296D4-D8D9-403A-96D9-B4E2849364B5}" destId="{417BF8B2-239B-474B-9DCA-4C871C76C3B8}" srcOrd="1" destOrd="0" presId="urn:microsoft.com/office/officeart/2005/8/layout/orgChart1"/>
    <dgm:cxn modelId="{415F292C-E536-46DC-B094-2AD0F12E835D}" type="presParOf" srcId="{5EF3863E-29B5-4103-ADC1-36D4EF69837C}" destId="{EEA3CE75-C646-4602-9EEF-E4DD257D9F6B}" srcOrd="1" destOrd="0" presId="urn:microsoft.com/office/officeart/2005/8/layout/orgChart1"/>
    <dgm:cxn modelId="{518C4E78-CE86-429E-8998-1ECA1513A5C9}" type="presParOf" srcId="{EEA3CE75-C646-4602-9EEF-E4DD257D9F6B}" destId="{89BD94BE-EF1D-4983-9903-226A5EF2F4CA}" srcOrd="0" destOrd="0" presId="urn:microsoft.com/office/officeart/2005/8/layout/orgChart1"/>
    <dgm:cxn modelId="{AB82D4BA-AA7F-4971-9BEE-8FE2858971AD}" type="presParOf" srcId="{EEA3CE75-C646-4602-9EEF-E4DD257D9F6B}" destId="{375A3566-94E4-4B16-9509-B4932EA889A2}" srcOrd="1" destOrd="0" presId="urn:microsoft.com/office/officeart/2005/8/layout/orgChart1"/>
    <dgm:cxn modelId="{45799F59-377E-4745-9669-A2AE6D06B8D7}" type="presParOf" srcId="{375A3566-94E4-4B16-9509-B4932EA889A2}" destId="{AE6AF948-CB36-4D11-9AF1-2402D348F9BF}" srcOrd="0" destOrd="0" presId="urn:microsoft.com/office/officeart/2005/8/layout/orgChart1"/>
    <dgm:cxn modelId="{4BA10DD8-A376-47AD-BF6D-26BD0649DB54}" type="presParOf" srcId="{AE6AF948-CB36-4D11-9AF1-2402D348F9BF}" destId="{AAC115FC-BEEE-4E9C-8587-47348F5B1CDD}" srcOrd="0" destOrd="0" presId="urn:microsoft.com/office/officeart/2005/8/layout/orgChart1"/>
    <dgm:cxn modelId="{676FF296-F8EB-4910-B56B-FD604E9BF5CE}" type="presParOf" srcId="{AE6AF948-CB36-4D11-9AF1-2402D348F9BF}" destId="{DB323919-C8D1-47D7-85DC-B7090C2F3E5C}" srcOrd="1" destOrd="0" presId="urn:microsoft.com/office/officeart/2005/8/layout/orgChart1"/>
    <dgm:cxn modelId="{6158141F-A628-4C99-B2A9-693B97CBEFFA}" type="presParOf" srcId="{375A3566-94E4-4B16-9509-B4932EA889A2}" destId="{68A647BA-14D6-4AFA-90B5-FC650BC47294}" srcOrd="1" destOrd="0" presId="urn:microsoft.com/office/officeart/2005/8/layout/orgChart1"/>
    <dgm:cxn modelId="{61BC92FF-93DF-417F-97C7-1781BDFBA1DA}" type="presParOf" srcId="{375A3566-94E4-4B16-9509-B4932EA889A2}" destId="{19F808D9-67D4-4467-890E-8ECBF295C231}" srcOrd="2" destOrd="0" presId="urn:microsoft.com/office/officeart/2005/8/layout/orgChart1"/>
    <dgm:cxn modelId="{CFB0A5CE-E9FC-4D60-A798-3CF9F7F30DC8}" type="presParOf" srcId="{5EF3863E-29B5-4103-ADC1-36D4EF69837C}" destId="{7F6E9D11-769B-4483-8B07-4ABD9E58C04B}" srcOrd="2" destOrd="0" presId="urn:microsoft.com/office/officeart/2005/8/layout/orgChart1"/>
    <dgm:cxn modelId="{A1D0278B-27CF-4D98-8C5E-7EBA70A4F016}" type="presParOf" srcId="{7EB65B06-2DAE-4319-AAD3-06A2A6C97482}" destId="{643AB9B2-BBCF-40BC-8659-66A9AA0DDFE9}" srcOrd="2" destOrd="0" presId="urn:microsoft.com/office/officeart/2005/8/layout/orgChart1"/>
    <dgm:cxn modelId="{250F83E2-ADDA-4C95-A14C-79625EDF2CC1}" type="presParOf" srcId="{00CE60B3-0919-4131-9D50-A94B56BDEF5C}" destId="{F58B55BC-25A1-4A0F-8BE5-96594F909071}" srcOrd="2" destOrd="0" presId="urn:microsoft.com/office/officeart/2005/8/layout/orgChart1"/>
    <dgm:cxn modelId="{EB94D6FC-6EDF-4CE9-BF86-2A4B19B261A1}" type="presParOf" srcId="{B77ABF52-407A-4B5A-9E7C-4A0606C1CE8C}" destId="{AB12CDBB-DA95-4EFF-A822-BCFE32BE5CD0}" srcOrd="2" destOrd="0" presId="urn:microsoft.com/office/officeart/2005/8/layout/orgChart1"/>
    <dgm:cxn modelId="{6B231300-64D1-4DF8-9386-46F7DE763D61}" type="presParOf" srcId="{EFAA4F95-CB5F-42A5-AFB2-F4EBB8371406}" destId="{597448E9-E614-4C35-9FAB-3290AC5A0731}" srcOrd="1" destOrd="0" presId="urn:microsoft.com/office/officeart/2005/8/layout/orgChart1"/>
    <dgm:cxn modelId="{B1E401C8-E1A4-4BA3-BB0B-EDB627E2401D}" type="presParOf" srcId="{597448E9-E614-4C35-9FAB-3290AC5A0731}" destId="{7AFED4D2-F44F-42B2-8548-28ABD7E206A3}" srcOrd="0" destOrd="0" presId="urn:microsoft.com/office/officeart/2005/8/layout/orgChart1"/>
    <dgm:cxn modelId="{C47F1534-5CE8-422B-BAFF-53B18E84EA93}" type="presParOf" srcId="{7AFED4D2-F44F-42B2-8548-28ABD7E206A3}" destId="{D5DD9303-C346-49F3-8108-E80379DCEB67}" srcOrd="0" destOrd="0" presId="urn:microsoft.com/office/officeart/2005/8/layout/orgChart1"/>
    <dgm:cxn modelId="{04886800-2EF4-4D0D-91EA-91E5DE80ABBC}" type="presParOf" srcId="{7AFED4D2-F44F-42B2-8548-28ABD7E206A3}" destId="{92C7F4D9-B3AA-4AF2-9963-92CF11FE8933}" srcOrd="1" destOrd="0" presId="urn:microsoft.com/office/officeart/2005/8/layout/orgChart1"/>
    <dgm:cxn modelId="{A66E548D-AAEF-434E-8691-642BF8730774}" type="presParOf" srcId="{597448E9-E614-4C35-9FAB-3290AC5A0731}" destId="{96913F72-D2A0-40C2-B65B-36A047C488A7}" srcOrd="1" destOrd="0" presId="urn:microsoft.com/office/officeart/2005/8/layout/orgChart1"/>
    <dgm:cxn modelId="{0D9C5F78-A3BB-4024-8003-B27B10EFBF7B}" type="presParOf" srcId="{597448E9-E614-4C35-9FAB-3290AC5A0731}" destId="{4C63BA29-DCD6-4117-822C-DD7B70F5D523}" srcOrd="2" destOrd="0" presId="urn:microsoft.com/office/officeart/2005/8/layout/orgChart1"/>
    <dgm:cxn modelId="{3166A8F9-09B0-4AD7-85FE-28D3AA5EAD71}" type="presParOf" srcId="{EFAA4F95-CB5F-42A5-AFB2-F4EBB8371406}" destId="{87874E25-36E6-45E1-8264-85321AFDBE47}" srcOrd="2" destOrd="0" presId="urn:microsoft.com/office/officeart/2005/8/layout/orgChart1"/>
    <dgm:cxn modelId="{1688046F-0C1C-4CD7-AAB2-6058567ADC59}" type="presParOf" srcId="{87874E25-36E6-45E1-8264-85321AFDBE47}" destId="{21DAEA14-5B6B-49D4-BFF6-1350E578F6B4}" srcOrd="0" destOrd="0" presId="urn:microsoft.com/office/officeart/2005/8/layout/orgChart1"/>
    <dgm:cxn modelId="{D0380579-A662-4DCE-8407-A97F6F8EFDF5}" type="presParOf" srcId="{21DAEA14-5B6B-49D4-BFF6-1350E578F6B4}" destId="{5045D3C0-F787-4966-A7DB-069310751CD5}" srcOrd="0" destOrd="0" presId="urn:microsoft.com/office/officeart/2005/8/layout/orgChart1"/>
    <dgm:cxn modelId="{48571468-6D5B-40B9-8334-1CD7DE2FFCD0}" type="presParOf" srcId="{21DAEA14-5B6B-49D4-BFF6-1350E578F6B4}" destId="{ED8467CD-22A8-4824-84E7-738DAB1048DE}" srcOrd="1" destOrd="0" presId="urn:microsoft.com/office/officeart/2005/8/layout/orgChart1"/>
    <dgm:cxn modelId="{D8294A74-A376-4247-BA48-067B5911EF52}" type="presParOf" srcId="{87874E25-36E6-45E1-8264-85321AFDBE47}" destId="{04AB7D91-C1C8-4F4F-871D-0DE3EC4488DD}" srcOrd="1" destOrd="0" presId="urn:microsoft.com/office/officeart/2005/8/layout/orgChart1"/>
    <dgm:cxn modelId="{E0388ED2-3200-4748-9B5D-86F4D2DEC68A}" type="presParOf" srcId="{87874E25-36E6-45E1-8264-85321AFDBE47}" destId="{3E813D59-CBEF-4CEC-A873-96366992A1B0}" srcOrd="2" destOrd="0" presId="urn:microsoft.com/office/officeart/2005/8/layout/orgChart1"/>
    <dgm:cxn modelId="{660ADBF8-4B05-4404-BF49-F3673B5EB2BD}" type="presParOf" srcId="{EFAA4F95-CB5F-42A5-AFB2-F4EBB8371406}" destId="{2C5A246C-1212-47D9-BFB9-74AF63A3E403}" srcOrd="3" destOrd="0" presId="urn:microsoft.com/office/officeart/2005/8/layout/orgChart1"/>
    <dgm:cxn modelId="{BB1BC759-32DA-46AD-97A6-2B94FF1C7E4E}" type="presParOf" srcId="{2C5A246C-1212-47D9-BFB9-74AF63A3E403}" destId="{5AF46C38-CE7B-4752-A971-EF5AFA79505F}" srcOrd="0" destOrd="0" presId="urn:microsoft.com/office/officeart/2005/8/layout/orgChart1"/>
    <dgm:cxn modelId="{82582FEF-16AF-4944-B17F-C71204A4D92A}" type="presParOf" srcId="{5AF46C38-CE7B-4752-A971-EF5AFA79505F}" destId="{E92BEC96-7C5E-45E0-B069-07495D0650E4}" srcOrd="0" destOrd="0" presId="urn:microsoft.com/office/officeart/2005/8/layout/orgChart1"/>
    <dgm:cxn modelId="{1C30EA20-B553-4ABE-B595-77C9822AA714}" type="presParOf" srcId="{5AF46C38-CE7B-4752-A971-EF5AFA79505F}" destId="{924BC938-1478-4E68-8113-529CF9F68C9C}" srcOrd="1" destOrd="0" presId="urn:microsoft.com/office/officeart/2005/8/layout/orgChart1"/>
    <dgm:cxn modelId="{1825B46B-3A38-4299-802A-F213229C7F76}" type="presParOf" srcId="{2C5A246C-1212-47D9-BFB9-74AF63A3E403}" destId="{12A56C83-D4F6-47A5-9EB4-84C4CE104C73}" srcOrd="1" destOrd="0" presId="urn:microsoft.com/office/officeart/2005/8/layout/orgChart1"/>
    <dgm:cxn modelId="{7AF1995A-F9E4-4CFF-8CFA-2B3F22FD18AF}" type="presParOf" srcId="{2C5A246C-1212-47D9-BFB9-74AF63A3E403}" destId="{6B2F3500-A69B-47DE-ACAB-84D4B20DAC56}" srcOrd="2" destOrd="0" presId="urn:microsoft.com/office/officeart/2005/8/layout/orgChart1"/>
    <dgm:cxn modelId="{7D6537CC-912F-4450-BC4B-AF87F1A92755}" type="presParOf" srcId="{EFAA4F95-CB5F-42A5-AFB2-F4EBB8371406}" destId="{08655893-A3A3-416D-A4C9-2695B77782B9}" srcOrd="4" destOrd="0" presId="urn:microsoft.com/office/officeart/2005/8/layout/orgChart1"/>
    <dgm:cxn modelId="{68CCE2B5-4EC4-4316-9994-5178A2AB1148}" type="presParOf" srcId="{08655893-A3A3-416D-A4C9-2695B77782B9}" destId="{807C15CD-CB07-4E00-9DAB-73BEC84FC284}" srcOrd="0" destOrd="0" presId="urn:microsoft.com/office/officeart/2005/8/layout/orgChart1"/>
    <dgm:cxn modelId="{8423EE5E-A25C-40DC-94D8-51D68ACEC7FD}" type="presParOf" srcId="{807C15CD-CB07-4E00-9DAB-73BEC84FC284}" destId="{598BD14F-7574-4722-A4ED-E9F2A4EF3641}" srcOrd="0" destOrd="0" presId="urn:microsoft.com/office/officeart/2005/8/layout/orgChart1"/>
    <dgm:cxn modelId="{9C861D0C-C451-4C82-9BE3-B8EA57C07D91}" type="presParOf" srcId="{807C15CD-CB07-4E00-9DAB-73BEC84FC284}" destId="{598EAF78-078D-4B17-94EE-8BC2FD867BC8}" srcOrd="1" destOrd="0" presId="urn:microsoft.com/office/officeart/2005/8/layout/orgChart1"/>
    <dgm:cxn modelId="{11C2BAE8-5789-43ED-8C0D-393C96CE40CE}" type="presParOf" srcId="{08655893-A3A3-416D-A4C9-2695B77782B9}" destId="{57DBBCD9-14D7-4D1E-A9BA-FAD01CB24789}" srcOrd="1" destOrd="0" presId="urn:microsoft.com/office/officeart/2005/8/layout/orgChart1"/>
    <dgm:cxn modelId="{AD788DE0-E083-4399-90CB-06C04047D1AF}" type="presParOf" srcId="{08655893-A3A3-416D-A4C9-2695B77782B9}" destId="{C57093C0-6176-444E-9AEB-16F9C5864C9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BD94BE-EF1D-4983-9903-226A5EF2F4CA}">
      <dsp:nvSpPr>
        <dsp:cNvPr id="0" name=""/>
        <dsp:cNvSpPr/>
      </dsp:nvSpPr>
      <dsp:spPr>
        <a:xfrm>
          <a:off x="2067738" y="2314914"/>
          <a:ext cx="122970" cy="377110"/>
        </a:xfrm>
        <a:custGeom>
          <a:avLst/>
          <a:gdLst/>
          <a:ahLst/>
          <a:cxnLst/>
          <a:rect l="0" t="0" r="0" b="0"/>
          <a:pathLst>
            <a:path>
              <a:moveTo>
                <a:pt x="0" y="0"/>
              </a:moveTo>
              <a:lnTo>
                <a:pt x="0" y="377110"/>
              </a:lnTo>
              <a:lnTo>
                <a:pt x="122970" y="37711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C3DBDE-6B1E-4FE3-ACFD-E889A21663F4}">
      <dsp:nvSpPr>
        <dsp:cNvPr id="0" name=""/>
        <dsp:cNvSpPr/>
      </dsp:nvSpPr>
      <dsp:spPr>
        <a:xfrm>
          <a:off x="2349939" y="1732853"/>
          <a:ext cx="91440" cy="172158"/>
        </a:xfrm>
        <a:custGeom>
          <a:avLst/>
          <a:gdLst/>
          <a:ahLst/>
          <a:cxnLst/>
          <a:rect l="0" t="0" r="0" b="0"/>
          <a:pathLst>
            <a:path>
              <a:moveTo>
                <a:pt x="45720" y="0"/>
              </a:moveTo>
              <a:lnTo>
                <a:pt x="45720" y="17215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8D3C4-61EE-4E71-999A-75A964527B28}">
      <dsp:nvSpPr>
        <dsp:cNvPr id="0" name=""/>
        <dsp:cNvSpPr/>
      </dsp:nvSpPr>
      <dsp:spPr>
        <a:xfrm>
          <a:off x="1403696" y="1150792"/>
          <a:ext cx="991963" cy="172158"/>
        </a:xfrm>
        <a:custGeom>
          <a:avLst/>
          <a:gdLst/>
          <a:ahLst/>
          <a:cxnLst/>
          <a:rect l="0" t="0" r="0" b="0"/>
          <a:pathLst>
            <a:path>
              <a:moveTo>
                <a:pt x="0" y="0"/>
              </a:moveTo>
              <a:lnTo>
                <a:pt x="0" y="86079"/>
              </a:lnTo>
              <a:lnTo>
                <a:pt x="991963" y="86079"/>
              </a:lnTo>
              <a:lnTo>
                <a:pt x="991963" y="1721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5504E7-3541-491A-B6BF-8DF163D8C34C}">
      <dsp:nvSpPr>
        <dsp:cNvPr id="0" name=""/>
        <dsp:cNvSpPr/>
      </dsp:nvSpPr>
      <dsp:spPr>
        <a:xfrm>
          <a:off x="1075774" y="2314914"/>
          <a:ext cx="122970" cy="959171"/>
        </a:xfrm>
        <a:custGeom>
          <a:avLst/>
          <a:gdLst/>
          <a:ahLst/>
          <a:cxnLst/>
          <a:rect l="0" t="0" r="0" b="0"/>
          <a:pathLst>
            <a:path>
              <a:moveTo>
                <a:pt x="0" y="0"/>
              </a:moveTo>
              <a:lnTo>
                <a:pt x="0" y="959171"/>
              </a:lnTo>
              <a:lnTo>
                <a:pt x="122970" y="959171"/>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E2585F-9FCC-4C72-B0BA-09A1EA7D6ED8}">
      <dsp:nvSpPr>
        <dsp:cNvPr id="0" name=""/>
        <dsp:cNvSpPr/>
      </dsp:nvSpPr>
      <dsp:spPr>
        <a:xfrm>
          <a:off x="1075774" y="2314914"/>
          <a:ext cx="122970" cy="377110"/>
        </a:xfrm>
        <a:custGeom>
          <a:avLst/>
          <a:gdLst/>
          <a:ahLst/>
          <a:cxnLst/>
          <a:rect l="0" t="0" r="0" b="0"/>
          <a:pathLst>
            <a:path>
              <a:moveTo>
                <a:pt x="0" y="0"/>
              </a:moveTo>
              <a:lnTo>
                <a:pt x="0" y="377110"/>
              </a:lnTo>
              <a:lnTo>
                <a:pt x="122970" y="37711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B047F9-125E-4FE5-9DEB-B79CEDEA958D}">
      <dsp:nvSpPr>
        <dsp:cNvPr id="0" name=""/>
        <dsp:cNvSpPr/>
      </dsp:nvSpPr>
      <dsp:spPr>
        <a:xfrm>
          <a:off x="1357976" y="1732853"/>
          <a:ext cx="91440" cy="172158"/>
        </a:xfrm>
        <a:custGeom>
          <a:avLst/>
          <a:gdLst/>
          <a:ahLst/>
          <a:cxnLst/>
          <a:rect l="0" t="0" r="0" b="0"/>
          <a:pathLst>
            <a:path>
              <a:moveTo>
                <a:pt x="45720" y="0"/>
              </a:moveTo>
              <a:lnTo>
                <a:pt x="45720" y="17215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455268-A04D-45C9-BA9C-0076DEEE8AF0}">
      <dsp:nvSpPr>
        <dsp:cNvPr id="0" name=""/>
        <dsp:cNvSpPr/>
      </dsp:nvSpPr>
      <dsp:spPr>
        <a:xfrm>
          <a:off x="1357976" y="1150792"/>
          <a:ext cx="91440" cy="172158"/>
        </a:xfrm>
        <a:custGeom>
          <a:avLst/>
          <a:gdLst/>
          <a:ahLst/>
          <a:cxnLst/>
          <a:rect l="0" t="0" r="0" b="0"/>
          <a:pathLst>
            <a:path>
              <a:moveTo>
                <a:pt x="45720" y="0"/>
              </a:moveTo>
              <a:lnTo>
                <a:pt x="45720" y="1721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24CA2F-192D-4CEA-B2D4-D8DDA7294DA4}">
      <dsp:nvSpPr>
        <dsp:cNvPr id="0" name=""/>
        <dsp:cNvSpPr/>
      </dsp:nvSpPr>
      <dsp:spPr>
        <a:xfrm>
          <a:off x="83811" y="2314914"/>
          <a:ext cx="122970" cy="959171"/>
        </a:xfrm>
        <a:custGeom>
          <a:avLst/>
          <a:gdLst/>
          <a:ahLst/>
          <a:cxnLst/>
          <a:rect l="0" t="0" r="0" b="0"/>
          <a:pathLst>
            <a:path>
              <a:moveTo>
                <a:pt x="0" y="0"/>
              </a:moveTo>
              <a:lnTo>
                <a:pt x="0" y="959171"/>
              </a:lnTo>
              <a:lnTo>
                <a:pt x="122970" y="959171"/>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872CA1-469A-49E5-87BF-5D88AA45F74B}">
      <dsp:nvSpPr>
        <dsp:cNvPr id="0" name=""/>
        <dsp:cNvSpPr/>
      </dsp:nvSpPr>
      <dsp:spPr>
        <a:xfrm>
          <a:off x="83811" y="2314914"/>
          <a:ext cx="122970" cy="377110"/>
        </a:xfrm>
        <a:custGeom>
          <a:avLst/>
          <a:gdLst/>
          <a:ahLst/>
          <a:cxnLst/>
          <a:rect l="0" t="0" r="0" b="0"/>
          <a:pathLst>
            <a:path>
              <a:moveTo>
                <a:pt x="0" y="0"/>
              </a:moveTo>
              <a:lnTo>
                <a:pt x="0" y="377110"/>
              </a:lnTo>
              <a:lnTo>
                <a:pt x="122970" y="37711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BEFFAC-85CF-40D8-8246-85230096450B}">
      <dsp:nvSpPr>
        <dsp:cNvPr id="0" name=""/>
        <dsp:cNvSpPr/>
      </dsp:nvSpPr>
      <dsp:spPr>
        <a:xfrm>
          <a:off x="366013" y="1732853"/>
          <a:ext cx="91440" cy="172158"/>
        </a:xfrm>
        <a:custGeom>
          <a:avLst/>
          <a:gdLst/>
          <a:ahLst/>
          <a:cxnLst/>
          <a:rect l="0" t="0" r="0" b="0"/>
          <a:pathLst>
            <a:path>
              <a:moveTo>
                <a:pt x="45720" y="0"/>
              </a:moveTo>
              <a:lnTo>
                <a:pt x="45720" y="17215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07C017-3082-4A50-ADFE-53A5E9344CEA}">
      <dsp:nvSpPr>
        <dsp:cNvPr id="0" name=""/>
        <dsp:cNvSpPr/>
      </dsp:nvSpPr>
      <dsp:spPr>
        <a:xfrm>
          <a:off x="411733" y="1150792"/>
          <a:ext cx="991963" cy="172158"/>
        </a:xfrm>
        <a:custGeom>
          <a:avLst/>
          <a:gdLst/>
          <a:ahLst/>
          <a:cxnLst/>
          <a:rect l="0" t="0" r="0" b="0"/>
          <a:pathLst>
            <a:path>
              <a:moveTo>
                <a:pt x="991963" y="0"/>
              </a:moveTo>
              <a:lnTo>
                <a:pt x="991963" y="86079"/>
              </a:lnTo>
              <a:lnTo>
                <a:pt x="0" y="86079"/>
              </a:lnTo>
              <a:lnTo>
                <a:pt x="0" y="1721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C5D16D-6EDC-40DB-9E8D-4F3E12D93EA2}">
      <dsp:nvSpPr>
        <dsp:cNvPr id="0" name=""/>
        <dsp:cNvSpPr/>
      </dsp:nvSpPr>
      <dsp:spPr>
        <a:xfrm>
          <a:off x="1357976" y="568731"/>
          <a:ext cx="91440" cy="172158"/>
        </a:xfrm>
        <a:custGeom>
          <a:avLst/>
          <a:gdLst/>
          <a:ahLst/>
          <a:cxnLst/>
          <a:rect l="0" t="0" r="0" b="0"/>
          <a:pathLst>
            <a:path>
              <a:moveTo>
                <a:pt x="45720" y="0"/>
              </a:moveTo>
              <a:lnTo>
                <a:pt x="45720" y="172158"/>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BC3F22-AF42-4641-B4CD-D58317E64C35}">
      <dsp:nvSpPr>
        <dsp:cNvPr id="0" name=""/>
        <dsp:cNvSpPr/>
      </dsp:nvSpPr>
      <dsp:spPr>
        <a:xfrm>
          <a:off x="993794" y="158829"/>
          <a:ext cx="819804" cy="409902"/>
        </a:xfrm>
        <a:prstGeom prst="rect">
          <a:avLst/>
        </a:prstGeom>
        <a:solidFill>
          <a:schemeClr val="accent2"/>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Představenstvo</a:t>
          </a:r>
        </a:p>
      </dsp:txBody>
      <dsp:txXfrm>
        <a:off x="993794" y="158829"/>
        <a:ext cx="819804" cy="409902"/>
      </dsp:txXfrm>
    </dsp:sp>
    <dsp:sp modelId="{8389E509-85DA-4BC5-A599-6B338B73EAD5}">
      <dsp:nvSpPr>
        <dsp:cNvPr id="0" name=""/>
        <dsp:cNvSpPr/>
      </dsp:nvSpPr>
      <dsp:spPr>
        <a:xfrm>
          <a:off x="993794" y="740890"/>
          <a:ext cx="819804" cy="409902"/>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Výkonný ředitel</a:t>
          </a:r>
        </a:p>
      </dsp:txBody>
      <dsp:txXfrm>
        <a:off x="993794" y="740890"/>
        <a:ext cx="819804" cy="409902"/>
      </dsp:txXfrm>
    </dsp:sp>
    <dsp:sp modelId="{036FE990-29C3-4280-827C-81076914CC98}">
      <dsp:nvSpPr>
        <dsp:cNvPr id="0" name=""/>
        <dsp:cNvSpPr/>
      </dsp:nvSpPr>
      <dsp:spPr>
        <a:xfrm>
          <a:off x="1831" y="1322951"/>
          <a:ext cx="819804" cy="409902"/>
        </a:xfrm>
        <a:prstGeom prst="rect">
          <a:avLst/>
        </a:prstGeom>
        <a:gradFill rotWithShape="0">
          <a:gsLst>
            <a:gs pos="0">
              <a:schemeClr val="accent1">
                <a:tint val="99000"/>
                <a:hueOff val="0"/>
                <a:satOff val="0"/>
                <a:lumOff val="0"/>
                <a:alphaOff val="0"/>
                <a:shade val="51000"/>
                <a:satMod val="130000"/>
              </a:schemeClr>
            </a:gs>
            <a:gs pos="80000">
              <a:schemeClr val="accent1">
                <a:tint val="99000"/>
                <a:hueOff val="0"/>
                <a:satOff val="0"/>
                <a:lumOff val="0"/>
                <a:alphaOff val="0"/>
                <a:shade val="93000"/>
                <a:satMod val="130000"/>
              </a:schemeClr>
            </a:gs>
            <a:gs pos="100000">
              <a:schemeClr val="accent1">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Obchodní oddělení</a:t>
          </a:r>
        </a:p>
      </dsp:txBody>
      <dsp:txXfrm>
        <a:off x="1831" y="1322951"/>
        <a:ext cx="819804" cy="409902"/>
      </dsp:txXfrm>
    </dsp:sp>
    <dsp:sp modelId="{645393A3-85DD-4305-895D-48E775FDF1BD}">
      <dsp:nvSpPr>
        <dsp:cNvPr id="0" name=""/>
        <dsp:cNvSpPr/>
      </dsp:nvSpPr>
      <dsp:spPr>
        <a:xfrm>
          <a:off x="1831" y="1905012"/>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Vedoucí obchodního oddělení</a:t>
          </a:r>
        </a:p>
      </dsp:txBody>
      <dsp:txXfrm>
        <a:off x="1831" y="1905012"/>
        <a:ext cx="819804" cy="409902"/>
      </dsp:txXfrm>
    </dsp:sp>
    <dsp:sp modelId="{3BF11EA9-2B21-474C-AF1B-CD5654C2D370}">
      <dsp:nvSpPr>
        <dsp:cNvPr id="0" name=""/>
        <dsp:cNvSpPr/>
      </dsp:nvSpPr>
      <dsp:spPr>
        <a:xfrm>
          <a:off x="206782" y="2487073"/>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Administrativa obchodního oddělení</a:t>
          </a:r>
        </a:p>
      </dsp:txBody>
      <dsp:txXfrm>
        <a:off x="206782" y="2487073"/>
        <a:ext cx="819804" cy="409902"/>
      </dsp:txXfrm>
    </dsp:sp>
    <dsp:sp modelId="{5312B284-F005-404F-81AB-1CD5E1F04953}">
      <dsp:nvSpPr>
        <dsp:cNvPr id="0" name=""/>
        <dsp:cNvSpPr/>
      </dsp:nvSpPr>
      <dsp:spPr>
        <a:xfrm>
          <a:off x="206782" y="3069134"/>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Obchodní referent</a:t>
          </a:r>
        </a:p>
      </dsp:txBody>
      <dsp:txXfrm>
        <a:off x="206782" y="3069134"/>
        <a:ext cx="819804" cy="409902"/>
      </dsp:txXfrm>
    </dsp:sp>
    <dsp:sp modelId="{D61EF265-784C-4755-A9A1-136F64CE0430}">
      <dsp:nvSpPr>
        <dsp:cNvPr id="0" name=""/>
        <dsp:cNvSpPr/>
      </dsp:nvSpPr>
      <dsp:spPr>
        <a:xfrm>
          <a:off x="993794" y="1322951"/>
          <a:ext cx="819804" cy="409902"/>
        </a:xfrm>
        <a:prstGeom prst="rect">
          <a:avLst/>
        </a:prstGeom>
        <a:gradFill rotWithShape="0">
          <a:gsLst>
            <a:gs pos="0">
              <a:schemeClr val="accent1">
                <a:tint val="99000"/>
                <a:hueOff val="0"/>
                <a:satOff val="0"/>
                <a:lumOff val="0"/>
                <a:alphaOff val="0"/>
                <a:shade val="51000"/>
                <a:satMod val="130000"/>
              </a:schemeClr>
            </a:gs>
            <a:gs pos="80000">
              <a:schemeClr val="accent1">
                <a:tint val="99000"/>
                <a:hueOff val="0"/>
                <a:satOff val="0"/>
                <a:lumOff val="0"/>
                <a:alphaOff val="0"/>
                <a:shade val="93000"/>
                <a:satMod val="130000"/>
              </a:schemeClr>
            </a:gs>
            <a:gs pos="100000">
              <a:schemeClr val="accent1">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Oddělení likvidace</a:t>
          </a:r>
        </a:p>
      </dsp:txBody>
      <dsp:txXfrm>
        <a:off x="993794" y="1322951"/>
        <a:ext cx="819804" cy="409902"/>
      </dsp:txXfrm>
    </dsp:sp>
    <dsp:sp modelId="{7FEB4EBC-495F-437A-BBF8-6D8428E14B60}">
      <dsp:nvSpPr>
        <dsp:cNvPr id="0" name=""/>
        <dsp:cNvSpPr/>
      </dsp:nvSpPr>
      <dsp:spPr>
        <a:xfrm>
          <a:off x="993794" y="1905012"/>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Vedoucí likvidace</a:t>
          </a:r>
        </a:p>
      </dsp:txBody>
      <dsp:txXfrm>
        <a:off x="993794" y="1905012"/>
        <a:ext cx="819804" cy="409902"/>
      </dsp:txXfrm>
    </dsp:sp>
    <dsp:sp modelId="{7D3F690A-3972-4326-8C37-8FF595586FFB}">
      <dsp:nvSpPr>
        <dsp:cNvPr id="0" name=""/>
        <dsp:cNvSpPr/>
      </dsp:nvSpPr>
      <dsp:spPr>
        <a:xfrm>
          <a:off x="1198745" y="2487073"/>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Likvidátoři</a:t>
          </a:r>
        </a:p>
      </dsp:txBody>
      <dsp:txXfrm>
        <a:off x="1198745" y="2487073"/>
        <a:ext cx="819804" cy="409902"/>
      </dsp:txXfrm>
    </dsp:sp>
    <dsp:sp modelId="{583EB4ED-C74D-4840-A52A-8C20291BBEE2}">
      <dsp:nvSpPr>
        <dsp:cNvPr id="0" name=""/>
        <dsp:cNvSpPr/>
      </dsp:nvSpPr>
      <dsp:spPr>
        <a:xfrm>
          <a:off x="1198745" y="3069134"/>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Administrativa likvidace</a:t>
          </a:r>
        </a:p>
      </dsp:txBody>
      <dsp:txXfrm>
        <a:off x="1198745" y="3069134"/>
        <a:ext cx="819804" cy="409902"/>
      </dsp:txXfrm>
    </dsp:sp>
    <dsp:sp modelId="{E8023D53-25C2-4EF7-971C-9C40FD9AEBF3}">
      <dsp:nvSpPr>
        <dsp:cNvPr id="0" name=""/>
        <dsp:cNvSpPr/>
      </dsp:nvSpPr>
      <dsp:spPr>
        <a:xfrm>
          <a:off x="1985757" y="1322951"/>
          <a:ext cx="819804" cy="409902"/>
        </a:xfrm>
        <a:prstGeom prst="rect">
          <a:avLst/>
        </a:prstGeom>
        <a:gradFill rotWithShape="0">
          <a:gsLst>
            <a:gs pos="0">
              <a:schemeClr val="accent1">
                <a:tint val="99000"/>
                <a:hueOff val="0"/>
                <a:satOff val="0"/>
                <a:lumOff val="0"/>
                <a:alphaOff val="0"/>
                <a:shade val="51000"/>
                <a:satMod val="130000"/>
              </a:schemeClr>
            </a:gs>
            <a:gs pos="80000">
              <a:schemeClr val="accent1">
                <a:tint val="99000"/>
                <a:hueOff val="0"/>
                <a:satOff val="0"/>
                <a:lumOff val="0"/>
                <a:alphaOff val="0"/>
                <a:shade val="93000"/>
                <a:satMod val="130000"/>
              </a:schemeClr>
            </a:gs>
            <a:gs pos="100000">
              <a:schemeClr val="accent1">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Ekonomické oddělení</a:t>
          </a:r>
        </a:p>
      </dsp:txBody>
      <dsp:txXfrm>
        <a:off x="1985757" y="1322951"/>
        <a:ext cx="819804" cy="409902"/>
      </dsp:txXfrm>
    </dsp:sp>
    <dsp:sp modelId="{97CF754B-B8A8-4907-AA7B-D052BA2E3E42}">
      <dsp:nvSpPr>
        <dsp:cNvPr id="0" name=""/>
        <dsp:cNvSpPr/>
      </dsp:nvSpPr>
      <dsp:spPr>
        <a:xfrm>
          <a:off x="1985757" y="1905012"/>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Vedoucí ekonomického oddělení</a:t>
          </a:r>
        </a:p>
      </dsp:txBody>
      <dsp:txXfrm>
        <a:off x="1985757" y="1905012"/>
        <a:ext cx="819804" cy="409902"/>
      </dsp:txXfrm>
    </dsp:sp>
    <dsp:sp modelId="{AAC115FC-BEEE-4E9C-8587-47348F5B1CDD}">
      <dsp:nvSpPr>
        <dsp:cNvPr id="0" name=""/>
        <dsp:cNvSpPr/>
      </dsp:nvSpPr>
      <dsp:spPr>
        <a:xfrm>
          <a:off x="2190708" y="2487073"/>
          <a:ext cx="819804" cy="409902"/>
        </a:xfrm>
        <a:prstGeom prst="rect">
          <a:avLst/>
        </a:prstGeom>
        <a:gradFill rotWithShape="0">
          <a:gsLst>
            <a:gs pos="0">
              <a:schemeClr val="accent1">
                <a:tint val="70000"/>
                <a:hueOff val="0"/>
                <a:satOff val="0"/>
                <a:lumOff val="0"/>
                <a:alphaOff val="0"/>
                <a:shade val="51000"/>
                <a:satMod val="130000"/>
              </a:schemeClr>
            </a:gs>
            <a:gs pos="80000">
              <a:schemeClr val="accent1">
                <a:tint val="70000"/>
                <a:hueOff val="0"/>
                <a:satOff val="0"/>
                <a:lumOff val="0"/>
                <a:alphaOff val="0"/>
                <a:shade val="93000"/>
                <a:satMod val="130000"/>
              </a:schemeClr>
            </a:gs>
            <a:gs pos="100000">
              <a:schemeClr val="accent1">
                <a:tint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kern="1200"/>
            <a:t>Účetní</a:t>
          </a:r>
        </a:p>
      </dsp:txBody>
      <dsp:txXfrm>
        <a:off x="2190708" y="2487073"/>
        <a:ext cx="819804" cy="409902"/>
      </dsp:txXfrm>
    </dsp:sp>
    <dsp:sp modelId="{D5DD9303-C346-49F3-8108-E80379DCEB67}">
      <dsp:nvSpPr>
        <dsp:cNvPr id="0" name=""/>
        <dsp:cNvSpPr/>
      </dsp:nvSpPr>
      <dsp:spPr>
        <a:xfrm>
          <a:off x="1985757" y="158829"/>
          <a:ext cx="819804" cy="778834"/>
        </a:xfrm>
        <a:prstGeom prst="rect">
          <a:avLst/>
        </a:prstGeom>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b="1" kern="1200"/>
            <a:t>Funkce Compliance</a:t>
          </a:r>
        </a:p>
      </dsp:txBody>
      <dsp:txXfrm>
        <a:off x="1985757" y="158829"/>
        <a:ext cx="819804" cy="778834"/>
      </dsp:txXfrm>
    </dsp:sp>
    <dsp:sp modelId="{5045D3C0-F787-4966-A7DB-069310751CD5}">
      <dsp:nvSpPr>
        <dsp:cNvPr id="0" name=""/>
        <dsp:cNvSpPr/>
      </dsp:nvSpPr>
      <dsp:spPr>
        <a:xfrm>
          <a:off x="2977720" y="158829"/>
          <a:ext cx="819804" cy="855338"/>
        </a:xfrm>
        <a:prstGeom prst="rect">
          <a:avLst/>
        </a:prstGeom>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b="1" kern="1200"/>
            <a:t>Funkce vnitřního auditu + vnitřní kontroly</a:t>
          </a:r>
        </a:p>
      </dsp:txBody>
      <dsp:txXfrm>
        <a:off x="2977720" y="158829"/>
        <a:ext cx="819804" cy="855338"/>
      </dsp:txXfrm>
    </dsp:sp>
    <dsp:sp modelId="{E92BEC96-7C5E-45E0-B069-07495D0650E4}">
      <dsp:nvSpPr>
        <dsp:cNvPr id="0" name=""/>
        <dsp:cNvSpPr/>
      </dsp:nvSpPr>
      <dsp:spPr>
        <a:xfrm>
          <a:off x="3956936" y="171576"/>
          <a:ext cx="819804" cy="804326"/>
        </a:xfrm>
        <a:prstGeom prst="rect">
          <a:avLst/>
        </a:prstGeom>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b="1" kern="1200"/>
            <a:t>Výbor </a:t>
          </a:r>
        </a:p>
        <a:p>
          <a:pPr lvl="0" algn="ctr" defTabSz="400050">
            <a:lnSpc>
              <a:spcPct val="90000"/>
            </a:lnSpc>
            <a:spcBef>
              <a:spcPct val="0"/>
            </a:spcBef>
            <a:spcAft>
              <a:spcPct val="35000"/>
            </a:spcAft>
          </a:pPr>
          <a:r>
            <a:rPr lang="cs-CZ" sz="900" b="1" kern="1200"/>
            <a:t>pro řízení rizik (Risk manager)</a:t>
          </a:r>
        </a:p>
      </dsp:txBody>
      <dsp:txXfrm>
        <a:off x="3956936" y="171576"/>
        <a:ext cx="819804" cy="804326"/>
      </dsp:txXfrm>
    </dsp:sp>
    <dsp:sp modelId="{598BD14F-7574-4722-A4ED-E9F2A4EF3641}">
      <dsp:nvSpPr>
        <dsp:cNvPr id="0" name=""/>
        <dsp:cNvSpPr/>
      </dsp:nvSpPr>
      <dsp:spPr>
        <a:xfrm>
          <a:off x="4963478" y="167490"/>
          <a:ext cx="819804" cy="817894"/>
        </a:xfrm>
        <a:prstGeom prst="rect">
          <a:avLst/>
        </a:prstGeom>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cs-CZ" sz="900" b="1" kern="1200"/>
            <a:t>Pojistně matematická funkce</a:t>
          </a:r>
        </a:p>
      </dsp:txBody>
      <dsp:txXfrm>
        <a:off x="4963478" y="167490"/>
        <a:ext cx="819804" cy="81789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73ED702ABA8447A8BD1950D720FC158"/>
        <w:category>
          <w:name w:val="Obecné"/>
          <w:gallery w:val="placeholder"/>
        </w:category>
        <w:types>
          <w:type w:val="bbPlcHdr"/>
        </w:types>
        <w:behaviors>
          <w:behavior w:val="content"/>
        </w:behaviors>
        <w:guid w:val="{82601662-BCF5-413B-9F92-6BC09B9E1058}"/>
      </w:docPartPr>
      <w:docPartBody>
        <w:p w:rsidR="00C226E5" w:rsidRDefault="00C226E5" w:rsidP="00C226E5">
          <w:pPr>
            <w:pStyle w:val="573ED702ABA8447A8BD1950D720FC158"/>
          </w:pPr>
          <w:r>
            <w:rPr>
              <w:rFonts w:asciiTheme="majorHAnsi" w:eastAsiaTheme="majorEastAsia" w:hAnsiTheme="majorHAnsi" w:cstheme="majorBidi"/>
              <w:sz w:val="36"/>
              <w:szCs w:val="36"/>
            </w:rPr>
            <w:t>[Titul dokumentu]</w:t>
          </w:r>
        </w:p>
      </w:docPartBody>
    </w:docPart>
    <w:docPart>
      <w:docPartPr>
        <w:name w:val="D50C2732D1D0489E9DD02364E6B2EB1D"/>
        <w:category>
          <w:name w:val="Obecné"/>
          <w:gallery w:val="placeholder"/>
        </w:category>
        <w:types>
          <w:type w:val="bbPlcHdr"/>
        </w:types>
        <w:behaviors>
          <w:behavior w:val="content"/>
        </w:behaviors>
        <w:guid w:val="{77AC394B-D985-495B-BA64-6A7B7D95A407}"/>
      </w:docPartPr>
      <w:docPartBody>
        <w:p w:rsidR="00C226E5" w:rsidRDefault="00C226E5" w:rsidP="00C226E5">
          <w:pPr>
            <w:pStyle w:val="D50C2732D1D0489E9DD02364E6B2EB1D"/>
          </w:pPr>
          <w:r>
            <w:rPr>
              <w:rFonts w:asciiTheme="majorHAnsi" w:eastAsiaTheme="majorEastAsia" w:hAnsiTheme="majorHAnsi" w:cstheme="majorBidi"/>
              <w:b/>
              <w:bCs/>
              <w:color w:val="4F81BD" w:themeColor="accent1"/>
              <w:sz w:val="36"/>
              <w:szCs w:val="36"/>
            </w:rPr>
            <w:t>[Rok]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6E5"/>
    <w:rsid w:val="00517EA6"/>
    <w:rsid w:val="007605A4"/>
    <w:rsid w:val="00C226E5"/>
    <w:rsid w:val="00C91F2D"/>
    <w:rsid w:val="00CE61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5E2CC37412A4FA498F8A24E3261A683">
    <w:name w:val="25E2CC37412A4FA498F8A24E3261A683"/>
    <w:rsid w:val="00C226E5"/>
  </w:style>
  <w:style w:type="paragraph" w:customStyle="1" w:styleId="A3994CE70C3C4CACAA33C1BBFEDA2ED8">
    <w:name w:val="A3994CE70C3C4CACAA33C1BBFEDA2ED8"/>
    <w:rsid w:val="00C226E5"/>
  </w:style>
  <w:style w:type="paragraph" w:customStyle="1" w:styleId="573ED702ABA8447A8BD1950D720FC158">
    <w:name w:val="573ED702ABA8447A8BD1950D720FC158"/>
    <w:rsid w:val="00C226E5"/>
  </w:style>
  <w:style w:type="paragraph" w:customStyle="1" w:styleId="D50C2732D1D0489E9DD02364E6B2EB1D">
    <w:name w:val="D50C2732D1D0489E9DD02364E6B2EB1D"/>
    <w:rsid w:val="00C226E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5E2CC37412A4FA498F8A24E3261A683">
    <w:name w:val="25E2CC37412A4FA498F8A24E3261A683"/>
    <w:rsid w:val="00C226E5"/>
  </w:style>
  <w:style w:type="paragraph" w:customStyle="1" w:styleId="A3994CE70C3C4CACAA33C1BBFEDA2ED8">
    <w:name w:val="A3994CE70C3C4CACAA33C1BBFEDA2ED8"/>
    <w:rsid w:val="00C226E5"/>
  </w:style>
  <w:style w:type="paragraph" w:customStyle="1" w:styleId="573ED702ABA8447A8BD1950D720FC158">
    <w:name w:val="573ED702ABA8447A8BD1950D720FC158"/>
    <w:rsid w:val="00C226E5"/>
  </w:style>
  <w:style w:type="paragraph" w:customStyle="1" w:styleId="D50C2732D1D0489E9DD02364E6B2EB1D">
    <w:name w:val="D50C2732D1D0489E9DD02364E6B2EB1D"/>
    <w:rsid w:val="00C226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7712</Words>
  <Characters>45506</Characters>
  <Application>Microsoft Office Word</Application>
  <DocSecurity>0</DocSecurity>
  <Lines>379</Lines>
  <Paragraphs>106</Paragraphs>
  <ScaleCrop>false</ScaleCrop>
  <HeadingPairs>
    <vt:vector size="2" baseType="variant">
      <vt:variant>
        <vt:lpstr>Název</vt:lpstr>
      </vt:variant>
      <vt:variant>
        <vt:i4>1</vt:i4>
      </vt:variant>
    </vt:vector>
  </HeadingPairs>
  <TitlesOfParts>
    <vt:vector size="1" baseType="lpstr">
      <vt:lpstr>Zpráva o solventnosti a finanční situaci</vt:lpstr>
    </vt:vector>
  </TitlesOfParts>
  <Company/>
  <LinksUpToDate>false</LinksUpToDate>
  <CharactersWithSpaces>53112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Zpráva o solventnosti a finanční situaci</dc:title>
  <dc:creator>Roman</dc:creator>
  <cp:lastModifiedBy>dujicek</cp:lastModifiedBy>
  <cp:revision>2</cp:revision>
  <cp:lastPrinted>2017-06-08T14:52:00Z</cp:lastPrinted>
  <dcterms:created xsi:type="dcterms:W3CDTF">2017-06-15T07:13:00Z</dcterms:created>
  <dcterms:modified xsi:type="dcterms:W3CDTF">2017-06-15T07:13:00Z</dcterms:modified>
</cp:coreProperties>
</file>